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A32A8">
      <w:pPr>
        <w:rPr>
          <w:rFonts w:ascii="仿宋" w:hAnsi="仿宋" w:eastAsia="仿宋" w:cs="宋体"/>
          <w:kern w:val="0"/>
          <w:sz w:val="32"/>
          <w:szCs w:val="32"/>
        </w:rPr>
      </w:pPr>
      <w:r>
        <w:rPr>
          <w:rFonts w:hint="eastAsia" w:asciiTheme="minorEastAsia" w:hAnsiTheme="minorEastAsia" w:cstheme="majorEastAsia"/>
          <w:bCs/>
          <w:color w:val="000000"/>
          <w:sz w:val="28"/>
          <w:szCs w:val="28"/>
        </w:rPr>
        <w:t>附件</w:t>
      </w:r>
      <w:r>
        <w:rPr>
          <w:rFonts w:hint="eastAsia" w:ascii="仿宋" w:hAnsi="仿宋" w:eastAsia="仿宋" w:cs="宋体"/>
          <w:kern w:val="0"/>
          <w:sz w:val="32"/>
          <w:szCs w:val="32"/>
        </w:rPr>
        <w:t>8</w:t>
      </w:r>
    </w:p>
    <w:p w14:paraId="303C0508">
      <w:pPr>
        <w:pStyle w:val="3"/>
        <w:jc w:val="center"/>
        <w:rPr>
          <w:rFonts w:hint="eastAsia" w:eastAsia="等线" w:cs="Times New Roman"/>
          <w:b/>
          <w:sz w:val="32"/>
          <w:szCs w:val="32"/>
        </w:rPr>
      </w:pPr>
      <w:r>
        <w:rPr>
          <w:rFonts w:hint="eastAsia" w:ascii="等线" w:hAnsi="等线"/>
          <w:b/>
          <w:sz w:val="32"/>
          <w:szCs w:val="32"/>
        </w:rPr>
        <w:t>评审办法</w:t>
      </w:r>
    </w:p>
    <w:p w14:paraId="1852D99C">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一、符合性审查与比较：</w:t>
      </w:r>
    </w:p>
    <w:p w14:paraId="69F9C67C">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1）医院评审小组对符合资格的报名公司的评审材料进行符合性审查，以确定其是否满足招标文件的实质性要求。医院评审小组审查评审材料的有效性、对招标文件的商务、技术等要求的响应程度，以确定评审材料是否符合招标文件的商务、技术等实质性要求。</w:t>
      </w:r>
    </w:p>
    <w:p w14:paraId="1093B1E2">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2）医院评审小组将根据报名公司的评审材料进行审查、核对，如有疑问，将对报名公司进行询问，报名公司要向医院评审小组澄清有关问题。报名公司代表未到场或者拒绝澄清或者澄清的内容改变了评审材料的实质性内容的，医院评审小组有权视该评审材料无效。</w:t>
      </w:r>
    </w:p>
    <w:p w14:paraId="261FB031">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（3）医院评审小组按照评审公告中公示的评审方法和标准，对符合性审查合格的评审材料进行商务和技术评估，综合比较与评价。</w:t>
      </w:r>
    </w:p>
    <w:p w14:paraId="4D14BAF2">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（4）医院评审小组根据评审材料综合比较与评价的结果确定中标候选人名单。</w:t>
      </w:r>
    </w:p>
    <w:p w14:paraId="4F8CC067">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5）医院评审小组根据全体成员签字的原始评标记录和评标结果编写评标报告。医院评审小组成员对需要共同认定的事项存在争议的，按照少数服从多数的原则作出结论。持不同意见的医院评审小组成员应当在评标报告上签署不同意见及理由，否则视为同意评标报告。</w:t>
      </w:r>
    </w:p>
    <w:p w14:paraId="261519E8">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（6）医院评审小组发现招标文件存在歧义、重大缺陷导致评标工作无法进行，或者招标文件内容违反国家有关强制性规定的，应当停止评 审工作，并作书面记录，采购需求部门及医院</w:t>
      </w:r>
      <w:r>
        <w:rPr>
          <w:rFonts w:hint="eastAsia" w:ascii="仿宋_GB2312" w:eastAsia="仿宋_GB2312"/>
          <w:color w:val="000000"/>
          <w:sz w:val="24"/>
          <w:szCs w:val="24"/>
          <w:lang w:val="en-US" w:eastAsia="zh-CN"/>
        </w:rPr>
        <w:t>采购管理</w:t>
      </w:r>
      <w:r>
        <w:rPr>
          <w:rFonts w:hint="eastAsia" w:ascii="仿宋_GB2312" w:eastAsia="仿宋_GB2312"/>
          <w:color w:val="000000"/>
          <w:sz w:val="24"/>
          <w:szCs w:val="24"/>
        </w:rPr>
        <w:t>办公室确认后，应当修改评审文件，重新组织评审活动。</w:t>
      </w:r>
    </w:p>
    <w:p w14:paraId="53FBC0BE">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二、评审原则：</w:t>
      </w:r>
    </w:p>
    <w:p w14:paraId="0E0A3EDF">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医院评审小组必须公平、公正、客观，不带任何倾向性和启发性；不得向外界透露任何与评标有关的内容；任何单位和个人不得干扰、影响评标的正常进行；评标委员会及有关工作人员不得私下与投标人接触。</w:t>
      </w:r>
    </w:p>
    <w:p w14:paraId="0212EEE5">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三、评标依据：评委将以招标文件和投标文件为评标依据，对投标人的投标报价、技术、售后服务、信誉业绩等方面内容按百分制独立打分。</w:t>
      </w:r>
    </w:p>
    <w:p w14:paraId="30514399">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四、评审标准审核：评审标准审核由医院采购管理办公室、审计科、纪检监察室、采购需求科室共同审定，参与审核评审标准的人员不得参与评审。</w:t>
      </w:r>
    </w:p>
    <w:p w14:paraId="04C22C14">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五、评标方式：以封闭方式进行。</w:t>
      </w:r>
    </w:p>
    <w:p w14:paraId="3447144B">
      <w:pPr>
        <w:spacing w:line="400" w:lineRule="exact"/>
        <w:ind w:firstLine="480" w:firstLineChars="200"/>
        <w:rPr>
          <w:rFonts w:hint="eastAsia" w:ascii="仿宋_GB2312" w:eastAsia="仿宋_GB2312"/>
          <w:bCs/>
          <w:sz w:val="24"/>
          <w:szCs w:val="24"/>
        </w:rPr>
      </w:pPr>
      <w:r>
        <w:rPr>
          <w:rFonts w:hint="eastAsia" w:ascii="仿宋_GB2312" w:eastAsia="仿宋_GB2312"/>
          <w:color w:val="000000"/>
          <w:sz w:val="24"/>
          <w:szCs w:val="24"/>
        </w:rPr>
        <w:t>六、评审</w:t>
      </w:r>
      <w:r>
        <w:rPr>
          <w:rFonts w:hint="eastAsia" w:ascii="仿宋_GB2312" w:eastAsia="仿宋_GB2312"/>
          <w:bCs/>
          <w:sz w:val="24"/>
          <w:szCs w:val="24"/>
        </w:rPr>
        <w:t>标准</w:t>
      </w:r>
    </w:p>
    <w:p w14:paraId="1FCB25C1">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1、磋商小组构成：本项目的磋商小组由院内有关技术方面的专家组成。成员人数应当为</w:t>
      </w:r>
      <w:r>
        <w:rPr>
          <w:rFonts w:hint="eastAsia" w:ascii="仿宋_GB2312" w:eastAsia="仿宋_GB2312"/>
          <w:color w:val="000000"/>
          <w:sz w:val="24"/>
          <w:szCs w:val="24"/>
          <w:lang w:val="en-US" w:eastAsia="zh-CN"/>
        </w:rPr>
        <w:t>3</w:t>
      </w:r>
      <w:r>
        <w:rPr>
          <w:rFonts w:hint="eastAsia" w:ascii="仿宋_GB2312" w:eastAsia="仿宋_GB2312"/>
          <w:color w:val="000000"/>
          <w:sz w:val="24"/>
          <w:szCs w:val="24"/>
        </w:rPr>
        <w:t>人。</w:t>
      </w:r>
    </w:p>
    <w:p w14:paraId="36767F04">
      <w:pPr>
        <w:spacing w:line="400" w:lineRule="exact"/>
        <w:ind w:firstLine="482"/>
        <w:rPr>
          <w:rFonts w:hint="eastAsia" w:ascii="仿宋_GB2312" w:eastAsia="仿宋_GB2312"/>
          <w:color w:val="000000"/>
          <w:sz w:val="24"/>
          <w:szCs w:val="24"/>
        </w:rPr>
      </w:pPr>
      <w:r>
        <w:rPr>
          <w:rFonts w:hint="eastAsia" w:ascii="仿宋_GB2312" w:eastAsia="仿宋_GB2312"/>
          <w:color w:val="000000"/>
          <w:sz w:val="24"/>
          <w:szCs w:val="24"/>
        </w:rPr>
        <w:t>2.评标方式：以封闭方式进行评标。评标全过程中不允许供应商与“磋商小组”之间有可能影响到评标结果公正性的会面与谈话，以体现公平、公正的基本原则。</w:t>
      </w:r>
    </w:p>
    <w:p w14:paraId="0F8B1661">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仿宋_GB2312" w:eastAsia="仿宋_GB2312"/>
          <w:color w:val="000000"/>
          <w:sz w:val="24"/>
          <w:szCs w:val="24"/>
        </w:rPr>
      </w:pPr>
      <w:r>
        <w:rPr>
          <w:rFonts w:hint="eastAsia" w:ascii="仿宋_GB2312" w:eastAsia="仿宋_GB2312"/>
          <w:color w:val="000000"/>
          <w:sz w:val="24"/>
          <w:szCs w:val="24"/>
        </w:rPr>
        <w:t>2、评标方法：综合评分法。对进入详评的，磋商小</w:t>
      </w:r>
      <w:r>
        <w:rPr>
          <w:rFonts w:hint="eastAsia" w:ascii="仿宋_GB2312" w:eastAsia="仿宋_GB2312"/>
          <w:color w:val="000000" w:themeColor="text1"/>
          <w:sz w:val="24"/>
          <w:szCs w:val="24"/>
          <w14:textFill>
            <w14:solidFill>
              <w14:schemeClr w14:val="tx1"/>
            </w14:solidFill>
          </w14:textFill>
        </w:rPr>
        <w:t>组将以竞争性磋商文件、</w:t>
      </w:r>
      <w:r>
        <w:rPr>
          <w:rFonts w:hint="eastAsia" w:ascii="仿宋_GB2312" w:eastAsia="仿宋_GB2312"/>
          <w:color w:val="000000"/>
          <w:sz w:val="24"/>
          <w:szCs w:val="24"/>
        </w:rPr>
        <w:t>响应文件为评定依据，采用百分制综合评分法：计分办法（按四舍五入取至百分位）：</w:t>
      </w:r>
    </w:p>
    <w:p w14:paraId="0300EB14">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b/>
          <w:bCs/>
          <w:color w:val="000000"/>
          <w:sz w:val="24"/>
          <w:szCs w:val="24"/>
        </w:rPr>
      </w:pPr>
      <w:r>
        <w:rPr>
          <w:rFonts w:hint="eastAsia" w:ascii="方正仿宋_GB2312" w:hAnsi="方正仿宋_GB2312" w:eastAsia="方正仿宋_GB2312" w:cs="方正仿宋_GB2312"/>
          <w:b/>
          <w:bCs/>
          <w:color w:val="000000"/>
          <w:sz w:val="24"/>
          <w:szCs w:val="24"/>
        </w:rPr>
        <w:t xml:space="preserve"> 1、商务技术分…………………………………………………  45分</w:t>
      </w:r>
    </w:p>
    <w:p w14:paraId="0F01B046">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（1）项目总体方案设计（20分）</w:t>
      </w:r>
    </w:p>
    <w:p w14:paraId="2D7812DA">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一档（7分）：竞选人提供的服务方案缺乏针对性，内容不够详细，仅基本满足采购需求。</w:t>
      </w:r>
    </w:p>
    <w:p w14:paraId="1EBA8326">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二档（12分）：竞选人提供的服务方案内容较详细、具体，服务较周到，满足采购需求。</w:t>
      </w:r>
    </w:p>
    <w:p w14:paraId="710FA569">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三档（20分）：竞选人提供的服务方案承诺详细、具体，突发事件的应急预案可行有效，考虑全面、服务周到，完全满足采购需求。</w:t>
      </w:r>
    </w:p>
    <w:p w14:paraId="46E2C9B4">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   </w:t>
      </w:r>
    </w:p>
    <w:p w14:paraId="6FAEE28F">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（2）执行保障及售后服务措施（15分）</w:t>
      </w:r>
    </w:p>
    <w:p w14:paraId="23AE9677">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一档（7分）：竞选人服务承诺粗略、可行，有简单的响应流程内容，有针对性的描述。</w:t>
      </w:r>
    </w:p>
    <w:p w14:paraId="646B4DFC">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二档（12分）：竞选人具有较完善的系统服务保障体系、应急保障方案和重点时期保障服务方案，运维保障方案措施科学性一般，基本合理，可行性较强。</w:t>
      </w:r>
    </w:p>
    <w:p w14:paraId="73CB6ED9">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三档（15分）：竞选人具有完善的系统服务保障体系、应急保障方案和重点时期保障服务方案，运维保障方案措施科学性强、合理、全面可行。</w:t>
      </w:r>
    </w:p>
    <w:p w14:paraId="68432E8C">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（3）项目培训方案（10分）</w:t>
      </w:r>
    </w:p>
    <w:p w14:paraId="77EE063E">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一档（5分）：竞选人提供的培训方案较差，且方案不具备可操作性。</w:t>
      </w:r>
    </w:p>
    <w:p w14:paraId="77BE13E2">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二档（7分）：竞选人提供的培训方案比较完善，且方案比较具备可操作性。</w:t>
      </w:r>
    </w:p>
    <w:p w14:paraId="34D0C6F3">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三档（10分）：竞选人提供详细完善的培训方案，且方案具备可操作性。</w:t>
      </w:r>
    </w:p>
    <w:p w14:paraId="32527556">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b/>
          <w:bCs/>
          <w:color w:val="000000"/>
          <w:sz w:val="24"/>
          <w:szCs w:val="24"/>
        </w:rPr>
      </w:pPr>
      <w:r>
        <w:rPr>
          <w:rFonts w:hint="eastAsia" w:ascii="方正仿宋_GB2312" w:hAnsi="方正仿宋_GB2312" w:eastAsia="方正仿宋_GB2312" w:cs="方正仿宋_GB2312"/>
          <w:b/>
          <w:bCs/>
          <w:color w:val="000000"/>
          <w:sz w:val="24"/>
          <w:szCs w:val="24"/>
        </w:rPr>
        <w:t>2、技术参数文件…………………………………………………………20分</w:t>
      </w:r>
    </w:p>
    <w:p w14:paraId="05AA65E4">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根据各竞选人所提供的参数，每优于1点，增加4分，上限20分。详见技术参数文件。</w:t>
      </w:r>
    </w:p>
    <w:p w14:paraId="30218C6E">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b/>
          <w:bCs/>
          <w:color w:val="000000"/>
          <w:sz w:val="24"/>
          <w:szCs w:val="24"/>
        </w:rPr>
      </w:pPr>
      <w:r>
        <w:rPr>
          <w:rFonts w:hint="eastAsia" w:ascii="方正仿宋_GB2312" w:hAnsi="方正仿宋_GB2312" w:eastAsia="方正仿宋_GB2312" w:cs="方正仿宋_GB2312"/>
          <w:b/>
          <w:bCs/>
          <w:color w:val="000000"/>
          <w:sz w:val="24"/>
          <w:szCs w:val="24"/>
        </w:rPr>
        <w:t>3、其他文件……………………………………………………………25分</w:t>
      </w:r>
    </w:p>
    <w:p w14:paraId="62A8BE7A">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提供软件著作权证书一份可增加5分，上限5分。提供2024年后类似合同每提供对应一份增加5分，上限20分。</w:t>
      </w:r>
    </w:p>
    <w:p w14:paraId="3C0FED31">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b/>
          <w:bCs/>
          <w:color w:val="000000"/>
          <w:sz w:val="24"/>
          <w:szCs w:val="24"/>
        </w:rPr>
      </w:pPr>
      <w:r>
        <w:rPr>
          <w:rFonts w:hint="eastAsia" w:ascii="方正仿宋_GB2312" w:hAnsi="方正仿宋_GB2312" w:eastAsia="方正仿宋_GB2312" w:cs="方正仿宋_GB2312"/>
          <w:b/>
          <w:bCs/>
          <w:color w:val="000000"/>
          <w:sz w:val="24"/>
          <w:szCs w:val="24"/>
        </w:rPr>
        <w:t>4、价格分………………………………………………………10分</w:t>
      </w:r>
    </w:p>
    <w:p w14:paraId="79262843">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 价格分计算公式：</w:t>
      </w:r>
    </w:p>
    <w:p w14:paraId="0BB34580">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某竞选人价格分＝竞选人最低的报价/某竞选人报价金额×10分</w:t>
      </w:r>
    </w:p>
    <w:p w14:paraId="11FE351B">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评标小组认为竞选人的报价明显低于其他通过符合性审查竞选人的报价，有可能影响其服务或产品质量或者不能诚信履约的，应当要求其在评审现场合理的时间内提供书面说明，必要时提交相关证明材料；竞选人不能证明其报价合理性的，评标小组应当将其作为无效竞选处理。</w:t>
      </w:r>
    </w:p>
    <w:p w14:paraId="77D4BC2C">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5、综合总得分=1+2+3+4。</w:t>
      </w:r>
    </w:p>
    <w:p w14:paraId="1646F6EE">
      <w:pPr>
        <w:keepNext w:val="0"/>
        <w:keepLines w:val="0"/>
        <w:pageBreakBefore w:val="0"/>
        <w:widowControl w:val="0"/>
        <w:kinsoku/>
        <w:wordWrap/>
        <w:overflowPunct/>
        <w:topLinePunct w:val="0"/>
        <w:autoSpaceDN/>
        <w:bidi w:val="0"/>
        <w:adjustRightInd/>
        <w:snapToGrid/>
        <w:spacing w:line="400" w:lineRule="exact"/>
        <w:ind w:firstLine="482"/>
        <w:textAlignment w:val="auto"/>
        <w:rPr>
          <w:rFonts w:hint="eastAsia" w:ascii="方正仿宋_GB2312" w:hAnsi="方正仿宋_GB2312" w:eastAsia="方正仿宋_GB2312" w:cs="方正仿宋_GB2312"/>
          <w:color w:val="000000"/>
          <w:sz w:val="24"/>
          <w:szCs w:val="24"/>
        </w:rPr>
      </w:pPr>
    </w:p>
    <w:p w14:paraId="6D0B0DA2">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panose1 w:val="020F0302020204030204"/>
    <w:charset w:val="00"/>
    <w:family w:val="auto"/>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7326942"/>
    </w:sdtPr>
    <w:sdtContent>
      <w:p w14:paraId="01E4747F">
        <w:pPr>
          <w:pStyle w:val="4"/>
          <w:ind w:firstLine="180"/>
          <w:jc w:val="center"/>
        </w:pPr>
        <w:r>
          <w:fldChar w:fldCharType="begin"/>
        </w:r>
        <w:r>
          <w:instrText xml:space="preserve">PAGE   \* MERGEFORMAT</w:instrText>
        </w:r>
        <w:r>
          <w:fldChar w:fldCharType="separate"/>
        </w:r>
        <w:r>
          <w:rPr>
            <w:lang w:val="zh-CN"/>
          </w:rPr>
          <w:t>2</w:t>
        </w:r>
        <w:r>
          <w:fldChar w:fldCharType="end"/>
        </w:r>
      </w:p>
    </w:sdtContent>
  </w:sdt>
  <w:p w14:paraId="7C4F93CA"/>
  <w:p w14:paraId="1D7B7856"/>
  <w:p w14:paraId="5746877C"/>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A11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Plain Text"/>
    <w:basedOn w:val="1"/>
    <w:next w:val="2"/>
    <w:qFormat/>
    <w:uiPriority w:val="99"/>
    <w:rPr>
      <w:rFonts w:ascii="宋体" w:hAnsi="Courier New"/>
      <w:szCs w:val="20"/>
    </w:rPr>
  </w:style>
  <w:style w:type="paragraph" w:styleId="4">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2026-09-01T07:44:01Z</dcterms:created>
  <dc:creator>Administrator</dc:creator>
  <cp:lastModifiedBy>Administrator</cp:lastModifiedBy>
  <dcterms:modified xsi:type="dcterms:W3CDTF">2026-09-01T07:56:27Z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eyJoZGlkIjoiYjVhNWQ2NDYwMjhhYjJiYjk2YmRkN2JiZjczYzQ2MWIiLCJ1c2VySWQiOiI2NzUxMzI5MTAifQ==</vt:lpwstr>
  </property>
  <property fmtid="{D5CDD505-2E9C-101B-9397-08002B2CF9AE}" pid="4" name="ICV">
    <vt:lpwstr>BFAF5C59259F48B9AE17C0EF25E668E2_12</vt:lpwstr>
  </property>
</Properties>
</file>