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6CB02">
      <w:pPr>
        <w:widowControl/>
        <w:shd w:val="clear" w:color="auto" w:fill="FFFFFF"/>
        <w:ind w:firstLine="320"/>
        <w:jc w:val="left"/>
        <w:rPr>
          <w:rFonts w:ascii="仿宋" w:hAnsi="仿宋" w:eastAsia="仿宋" w:cs="宋体"/>
          <w:kern w:val="0"/>
          <w:sz w:val="32"/>
          <w:szCs w:val="32"/>
        </w:rPr>
      </w:pPr>
      <w:bookmarkStart w:id="0" w:name="_Hlk190934005"/>
      <w:r>
        <w:rPr>
          <w:rFonts w:hint="eastAsia" w:asciiTheme="minorEastAsia" w:hAnsiTheme="minorEastAsia" w:cstheme="majorEastAsia"/>
          <w:bCs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宋体"/>
          <w:kern w:val="0"/>
          <w:sz w:val="32"/>
          <w:szCs w:val="32"/>
        </w:rPr>
        <w:t>1</w:t>
      </w:r>
    </w:p>
    <w:bookmarkEnd w:id="0"/>
    <w:p w14:paraId="2585BABA">
      <w:pPr>
        <w:pStyle w:val="6"/>
        <w:ind w:firstLine="320"/>
      </w:pPr>
      <w:bookmarkStart w:id="1" w:name="_Hlk190933306"/>
      <w:r>
        <w:rPr>
          <w:rFonts w:hint="eastAsia"/>
        </w:rPr>
        <w:t>服务需求清单</w:t>
      </w:r>
      <w:bookmarkEnd w:id="1"/>
    </w:p>
    <w:p w14:paraId="47D0F028">
      <w:pPr>
        <w:pStyle w:val="6"/>
        <w:spacing w:line="360" w:lineRule="exact"/>
        <w:ind w:firstLine="442" w:firstLineChars="200"/>
        <w:jc w:val="both"/>
        <w:rPr>
          <w:rFonts w:hint="eastAsia" w:ascii="宋体" w:hAnsi="宋体" w:eastAsia="宋体" w:cs="宋体"/>
          <w:b/>
          <w:bCs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说明：本采购需求一览表中标注</w:t>
      </w:r>
      <w:r>
        <w:rPr>
          <w:rFonts w:hint="eastAsia"/>
        </w:rPr>
        <w:t>★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号的内容为实质性要求和条件，响应人必须满足或优于，不满足或负偏离视为无效响应。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非标‘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’的条款</w:t>
      </w:r>
      <w:r>
        <w:rPr>
          <w:rFonts w:hint="eastAsia" w:asciiTheme="minorEastAsia" w:hAnsiTheme="minorEastAsia" w:cstheme="minorEastAsia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竞标允许最多</w:t>
      </w:r>
      <w:r>
        <w:rPr>
          <w:rFonts w:asciiTheme="minorEastAsia" w:hAnsiTheme="minorEastAsia" w:cstheme="minorEastAsia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2项负偏离：若项目要求、技术需求条款中的技术、性能指标或辅助功能发生负偏离达3项（含）以上，即视为无效。</w:t>
      </w:r>
    </w:p>
    <w:tbl>
      <w:tblPr>
        <w:tblStyle w:val="4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90"/>
        <w:gridCol w:w="657"/>
        <w:gridCol w:w="748"/>
        <w:gridCol w:w="6147"/>
      </w:tblGrid>
      <w:tr w14:paraId="0A06C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E7A1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BBF62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B764D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数量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FCD4E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F6B181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服务项目的具体内容和要求</w:t>
            </w:r>
          </w:p>
        </w:tc>
      </w:tr>
      <w:tr w14:paraId="0208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03E3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64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南宁市第四人民医院2026年医学搜索数据库（AI医学知识服务平台）采购项目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C99E9">
            <w:pPr>
              <w:spacing w:beforeLines="0" w:afterLines="0"/>
              <w:jc w:val="left"/>
              <w:rPr>
                <w:rFonts w:hint="default" w:eastAsia="宋体" w:asciiTheme="minorAscii" w:hAnsiTheme="minorAscii"/>
                <w:sz w:val="21"/>
                <w:szCs w:val="24"/>
              </w:rPr>
            </w:pPr>
            <w:r>
              <w:rPr>
                <w:rFonts w:hint="default" w:eastAsia="宋体" w:asciiTheme="minorAscii" w:hAnsiTheme="minorAscii"/>
                <w:sz w:val="21"/>
                <w:szCs w:val="24"/>
              </w:rPr>
              <w:t>1 项</w:t>
            </w:r>
          </w:p>
          <w:p w14:paraId="38545B5D">
            <w:pPr>
              <w:jc w:val="center"/>
              <w:rPr>
                <w:rFonts w:hint="default" w:cs="宋体" w:asciiTheme="minorAscii" w:hAnsiTheme="minorAscii"/>
                <w:szCs w:val="21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42A77">
            <w:pPr>
              <w:jc w:val="center"/>
              <w:rPr>
                <w:rFonts w:hint="default" w:cs="Times New Roman" w:asciiTheme="minorAscii" w:hAnsiTheme="minorAscii"/>
                <w:szCs w:val="21"/>
              </w:rPr>
            </w:pPr>
            <w:r>
              <w:rPr>
                <w:rFonts w:hint="eastAsia" w:cs="宋体" w:asciiTheme="minorAscii" w:hAnsiTheme="minorAscii"/>
                <w:szCs w:val="21"/>
                <w:lang w:val="en-US" w:eastAsia="zh-CN"/>
              </w:rPr>
              <w:t>7.7</w:t>
            </w:r>
            <w:r>
              <w:rPr>
                <w:rFonts w:hint="default" w:cs="宋体" w:asciiTheme="minorAscii" w:hAnsiTheme="minorAscii"/>
                <w:szCs w:val="21"/>
              </w:rPr>
              <w:t>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tbl>
            <w:tblPr>
              <w:tblStyle w:val="4"/>
              <w:tblW w:w="909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304"/>
            </w:tblGrid>
            <w:tr w14:paraId="29DAEB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6" w:hRule="atLeast"/>
                <w:jc w:val="center"/>
              </w:trPr>
              <w:tc>
                <w:tcPr>
                  <w:tcW w:w="63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 w14:paraId="056994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一、数据资源</w:t>
                  </w:r>
                </w:p>
                <w:p w14:paraId="70E6D52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★1、中文期刊：国内出版的生物医学期刊不少于2500种，文献不少于2400万篇</w:t>
                  </w:r>
                </w:p>
                <w:p w14:paraId="14E2536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★2、外文期刊：国际出版的生物医学期刊不少于20000种，文献不少于3800万篇外刊论文要与Pubmed同步更新；</w:t>
                  </w:r>
                </w:p>
                <w:p w14:paraId="5BE0744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★3、其他资源</w:t>
                  </w:r>
                </w:p>
                <w:p w14:paraId="1510A0C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会议论文：国内外权威学协会出版的会议文献不少于200万篇</w:t>
                  </w:r>
                </w:p>
                <w:p w14:paraId="713CDE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图书专著：国内外生物医学热点电子图书不少于18万本；</w:t>
                  </w:r>
                </w:p>
                <w:p w14:paraId="761C7F9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二、使用方式：</w:t>
                  </w:r>
                </w:p>
                <w:p w14:paraId="0F82B72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1、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支持互联网服务（PC端）、移动端微信小程序两种访问模式；</w:t>
                  </w:r>
                </w:p>
                <w:p w14:paraId="613FF13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2、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支持“账号＋密码”登录、“IP”范围内直接访问两种登录方式；</w:t>
                  </w:r>
                </w:p>
                <w:p w14:paraId="6773E0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3、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支持读者在机构账户下注册个人账户，登录使用无时间空间限制。</w:t>
                  </w:r>
                </w:p>
                <w:p w14:paraId="05D743A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三、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检索方式：</w:t>
                  </w:r>
                </w:p>
                <w:p w14:paraId="0862AAE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1、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支持平台内的所有资源类型一框式检索；提供任意字段、标题、作者、机构、关键词、主题词、来源、摘要、ISSN、ISBN、PMID、DOI等多字段进行检索；提供年限区间限制；提供二次检索（在结果中检索）；提供多字段逻辑组配检索；</w:t>
                  </w:r>
                </w:p>
                <w:p w14:paraId="76E2F75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2、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支持中英文刊名、ISSN、主题词、关键词进行期刊检索；</w:t>
                  </w:r>
                </w:p>
                <w:p w14:paraId="445267A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3、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支持持主流期刊分级目录适配收录、高质量科技期刊分级目录筛选；</w:t>
                  </w:r>
                </w:p>
                <w:p w14:paraId="0BBFE9B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4、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采用最新官方 MeSH 词库并完成汉化适配，如2023版MeSH主题词表并汉化；支持多个主题词同时检索；可选择限制副主题词、设置是否加权、是否扩展检索；支持中外文论文同步检索；</w:t>
                  </w:r>
                </w:p>
                <w:p w14:paraId="1988597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5、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现行最新版临床医学名词，如采用国家卫生健康委印发的常用临床医学名词(2023年版)；支持“临床专业-医学名词”二级导航模式查询文献；</w:t>
                  </w:r>
                </w:p>
                <w:p w14:paraId="6EB9E48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6、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提供期刊文章按年、按期浏览，提供历年常用科研评价指标（数据库收录、影响因子、JCR分区、中科院分区）查阅，并对期刊研究主题进行分析；</w:t>
                  </w:r>
                </w:p>
                <w:p w14:paraId="3821E8D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7、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对接国内主流预警期刊清单平台，包括撤稿和通报；</w:t>
                  </w:r>
                </w:p>
                <w:p w14:paraId="0150F56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提供参考文献、被引次数、相关文献、相关期刊的推荐；</w:t>
                  </w:r>
                </w:p>
                <w:p w14:paraId="1B156B2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8、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多维度医学名词聚类结果筛选项，至少包括：出版年份、来源出版物、主题词、疾病名词的聚类筛选；</w:t>
                  </w:r>
                </w:p>
                <w:p w14:paraId="2F6365F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9、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提供多种文献导出格式：NoteExpress、RefWorks、NotFirst、EndNote；</w:t>
                  </w:r>
                </w:p>
                <w:p w14:paraId="447A02A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10、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提供PDF全文下载、第三方网站免费全文下载、文献传递、馆际互借多种全文获取方式；</w:t>
                  </w:r>
                </w:p>
                <w:p w14:paraId="10434D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四、读者服务功能</w:t>
                  </w:r>
                </w:p>
                <w:p w14:paraId="6CF348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1、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提供职称包下载，如“全文+封面+目录”。</w:t>
                  </w:r>
                </w:p>
                <w:p w14:paraId="7A01E06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2、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增加读者阅读服务，如读者可自行设置研究主题、疾病名词、特定期刊等条件进行的智能推送功能。</w:t>
                  </w:r>
                </w:p>
                <w:p w14:paraId="7A32EFE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★</w:t>
                  </w: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3、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工作日人工值守 + 7×24 小时 微信AI 客服，服务内容包括文献查找、封面目录查找、单篇文章数据库收录查询（文章的EI收录、SCI收录截图）等；资源包括学术期刊、学位论文、会议论文、标准、指南、图书专著、补充材料等。服务时间要求：AI机器人提供每周7天、每天24小时不间断服务，人工服务时间为每日8:00-23:00（法定假日除外）。此服务必须同时提供移动终端和PC端平台两种服务模式。</w:t>
                  </w:r>
                </w:p>
                <w:p w14:paraId="0BBA90F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40" w:firstLineChars="200"/>
                    <w:textAlignment w:val="auto"/>
                    <w:rPr>
                      <w:rFonts w:hint="eastAsia" w:cs="仿宋" w:asciiTheme="minorEastAsia" w:hAnsiTheme="minorEastAsia"/>
                      <w:sz w:val="22"/>
                      <w:szCs w:val="22"/>
                    </w:rPr>
                  </w:pPr>
                  <w:r>
                    <w:rPr>
                      <w:rFonts w:hint="eastAsia" w:asciiTheme="minorEastAsia" w:hAnsi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4、</w:t>
                  </w:r>
                  <w:r>
                    <w:rPr>
                      <w:rFonts w:hint="eastAsia" w:asciiTheme="minorEastAsia" w:hAnsiTheme="minorEastAsia" w:eastAsiaTheme="minorEastAsia" w:cstheme="minorBidi"/>
                      <w:kern w:val="2"/>
                      <w:sz w:val="22"/>
                      <w:szCs w:val="22"/>
                      <w:lang w:val="en-US" w:eastAsia="zh-CN" w:bidi="ar-SA"/>
                    </w:rPr>
                    <w:t>需提供具有国家一级查新资质的查新服务及查收、查引服务。</w:t>
                  </w:r>
                </w:p>
              </w:tc>
            </w:tr>
          </w:tbl>
          <w:p w14:paraId="63C53187">
            <w:pPr>
              <w:spacing w:beforeLines="0" w:afterLines="0"/>
              <w:jc w:val="left"/>
              <w:rPr>
                <w:rFonts w:hint="default" w:cs="仿宋" w:asciiTheme="minorAscii" w:hAnsiTheme="minorAscii"/>
                <w:szCs w:val="21"/>
              </w:rPr>
            </w:pPr>
          </w:p>
        </w:tc>
      </w:tr>
      <w:tr w14:paraId="5C6E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95CE4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商务条款</w:t>
            </w:r>
          </w:p>
        </w:tc>
        <w:tc>
          <w:tcPr>
            <w:tcW w:w="87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CC6B1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一、合同签订期：采购结果公告结束之日起15个工作日内。</w:t>
            </w:r>
          </w:p>
          <w:p w14:paraId="2BA27C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default" w:asciiTheme="minorEastAsia" w:hAnsiTheme="minorEastAsia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二、服务时间：</w:t>
            </w:r>
            <w:r>
              <w:rPr>
                <w:rFonts w:hint="eastAsia" w:asciiTheme="minorEastAsia" w:hAnsiTheme="minorEastAsia"/>
                <w:szCs w:val="21"/>
              </w:rPr>
              <w:t>合同签订之日起至1年内。</w:t>
            </w:r>
          </w:p>
          <w:p w14:paraId="6EF554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三、提交服务成果地点：南宁市第四人民医院。</w:t>
            </w:r>
          </w:p>
          <w:p w14:paraId="71602D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四、售后服务要求：</w:t>
            </w:r>
          </w:p>
          <w:p w14:paraId="20718E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420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 w:val="22"/>
                <w:szCs w:val="22"/>
              </w:rPr>
              <w:t>质量保证期：自服务验收合格之日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起一年内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。</w:t>
            </w:r>
          </w:p>
          <w:p w14:paraId="510DDE4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五、其他要求：</w:t>
            </w:r>
          </w:p>
          <w:p w14:paraId="489C0E8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一</w:t>
            </w: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报价必须含以下部分，包括：</w:t>
            </w:r>
          </w:p>
          <w:p w14:paraId="712EEA0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220" w:firstLineChars="100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服务的价格；</w:t>
            </w:r>
          </w:p>
          <w:p w14:paraId="523DA8A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220" w:firstLineChars="100"/>
              <w:textAlignment w:val="auto"/>
              <w:rPr>
                <w:rFonts w:hint="default" w:asciiTheme="minorEastAsia" w:hAnsiTheme="minorEastAsia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包括一切完成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服务所需的伙食费、差旅费、函证费等各项费用及各项税金。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 xml:space="preserve">  </w:t>
            </w:r>
          </w:p>
          <w:p w14:paraId="2A1CB6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二</w:t>
            </w: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付款方式：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成交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供应商提供的合法有效的普通增值税发票后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60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日内支付合同总金额100%。</w:t>
            </w:r>
          </w:p>
          <w:p w14:paraId="71AE4C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六、验收标准：</w:t>
            </w:r>
          </w:p>
          <w:p w14:paraId="5CD2E3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一</w:t>
            </w: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服务完成后成交供应商可向采购人提出申请验收。</w:t>
            </w:r>
          </w:p>
          <w:p w14:paraId="3821FB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二</w:t>
            </w: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采购人将组织验收小组对供应商的服务情况进行验收，验收着重考察供应商所提供的服务是否满足本项目服务要求，验收完成后验收小组将出具验收报告。</w:t>
            </w:r>
          </w:p>
          <w:p w14:paraId="0591ABF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三</w:t>
            </w:r>
            <w:r>
              <w:rPr>
                <w:rFonts w:hint="eastAsia" w:asciiTheme="minorEastAsia" w:hAnsiTheme="minorEastAsia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Theme="minorEastAsia" w:hAnsiTheme="minorEastAsia"/>
                <w:sz w:val="22"/>
                <w:szCs w:val="22"/>
              </w:rPr>
              <w:t>首次验收不合格的，可由供应商在收到验收报告之日起5个工作日内申请重新验收，若重新验收不合格的，则将被视为违约；中标人违约的，产生的费用由中标人自行承担。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               </w:t>
            </w:r>
          </w:p>
        </w:tc>
      </w:tr>
    </w:tbl>
    <w:p w14:paraId="1A0C7B5B">
      <w:pPr>
        <w:spacing w:line="360" w:lineRule="exact"/>
        <w:rPr>
          <w:rFonts w:ascii="Times New Roman" w:hAnsi="Times New Roman" w:eastAsia="宋体" w:cs="Times New Roman"/>
          <w:color w:val="000000"/>
          <w:szCs w:val="24"/>
        </w:rPr>
      </w:pPr>
    </w:p>
    <w:p w14:paraId="33B9B800">
      <w:pPr>
        <w:pStyle w:val="6"/>
        <w:ind w:firstLine="320"/>
        <w:rPr>
          <w:rFonts w:hint="eastAsia"/>
        </w:rPr>
      </w:pPr>
    </w:p>
    <w:p w14:paraId="67EBF991">
      <w:pPr>
        <w:widowControl/>
        <w:jc w:val="left"/>
        <w:rPr>
          <w:rFonts w:ascii="仿宋" w:hAnsi="仿宋" w:eastAsia="仿宋" w:cs="宋体"/>
          <w:kern w:val="0"/>
          <w:sz w:val="32"/>
          <w:szCs w:val="32"/>
        </w:rPr>
      </w:pPr>
    </w:p>
    <w:p w14:paraId="16D4D4A9">
      <w:pPr>
        <w:widowControl/>
        <w:jc w:val="left"/>
        <w:rPr>
          <w:rFonts w:ascii="仿宋" w:hAnsi="仿宋" w:eastAsia="仿宋" w:cs="宋体"/>
          <w:kern w:val="0"/>
          <w:sz w:val="32"/>
          <w:szCs w:val="32"/>
        </w:rPr>
      </w:pPr>
    </w:p>
    <w:p w14:paraId="74C07BAD">
      <w:pPr>
        <w:widowControl/>
        <w:jc w:val="left"/>
        <w:rPr>
          <w:rFonts w:ascii="仿宋" w:hAnsi="仿宋" w:eastAsia="仿宋" w:cs="宋体"/>
          <w:kern w:val="0"/>
          <w:sz w:val="32"/>
          <w:szCs w:val="32"/>
        </w:rPr>
      </w:pPr>
    </w:p>
    <w:p w14:paraId="14D4C3AB">
      <w:pPr>
        <w:widowControl/>
        <w:jc w:val="left"/>
        <w:rPr>
          <w:rFonts w:ascii="仿宋" w:hAnsi="仿宋" w:eastAsia="仿宋" w:cs="宋体"/>
          <w:kern w:val="0"/>
          <w:sz w:val="32"/>
          <w:szCs w:val="32"/>
        </w:rPr>
      </w:pPr>
    </w:p>
    <w:p w14:paraId="7D47B2CC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FD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customStyle="1" w:styleId="6">
    <w:name w:val="正文1"/>
    <w:basedOn w:val="1"/>
    <w:qFormat/>
    <w:uiPriority w:val="0"/>
    <w:pPr>
      <w:adjustRightInd w:val="0"/>
      <w:spacing w:line="318" w:lineRule="atLeast"/>
      <w:jc w:val="center"/>
      <w:textAlignment w:val="baseline"/>
    </w:pPr>
    <w:rPr>
      <w:rFonts w:ascii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2026-09-01T07:41:42Z</dcterms:created>
  <dc:creator>Administrator</dc:creator>
  <cp:lastModifiedBy>Administrator</cp:lastModifiedBy>
  <dcterms:modified xsi:type="dcterms:W3CDTF">2026-09-01T07:41:59Z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eyJoZGlkIjoiYjVhNWQ2NDYwMjhhYjJiYjk2YmRkN2JiZjczYzQ2MWIiLCJ1c2VySWQiOiI2NzUxMzI5MTAifQ==</vt:lpwstr>
  </property>
  <property fmtid="{D5CDD505-2E9C-101B-9397-08002B2CF9AE}" pid="4" name="ICV">
    <vt:lpwstr>460030A2518E4F68B3CE40C287EC3EA6_12</vt:lpwstr>
  </property>
</Properties>
</file>