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55A2A">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项目需求说明</w:t>
      </w:r>
    </w:p>
    <w:tbl>
      <w:tblPr>
        <w:tblStyle w:val="11"/>
        <w:tblW w:w="9482" w:type="dxa"/>
        <w:tblInd w:w="-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8319"/>
      </w:tblGrid>
      <w:tr w14:paraId="6169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3" w:type="dxa"/>
            <w:vAlign w:val="center"/>
          </w:tcPr>
          <w:p w14:paraId="7823251D">
            <w:pPr>
              <w:pStyle w:val="2"/>
              <w:widowControl/>
              <w:shd w:val="clear" w:color="auto" w:fill="FFFFFF"/>
              <w:spacing w:before="0" w:beforeAutospacing="0" w:after="0" w:afterAutospacing="0" w:line="360" w:lineRule="auto"/>
              <w:jc w:val="center"/>
              <w:rPr>
                <w:rFonts w:ascii="仿宋" w:hAnsi="仿宋" w:eastAsia="仿宋" w:cs="仿宋"/>
                <w:b w:val="0"/>
                <w:sz w:val="22"/>
                <w:szCs w:val="22"/>
              </w:rPr>
            </w:pPr>
            <w:r>
              <w:rPr>
                <w:rFonts w:ascii="仿宋" w:hAnsi="仿宋" w:eastAsia="仿宋" w:cs="仿宋"/>
                <w:b w:val="0"/>
                <w:sz w:val="22"/>
                <w:szCs w:val="22"/>
              </w:rPr>
              <w:t>项目名称</w:t>
            </w:r>
          </w:p>
        </w:tc>
        <w:tc>
          <w:tcPr>
            <w:tcW w:w="8319" w:type="dxa"/>
            <w:vAlign w:val="center"/>
          </w:tcPr>
          <w:p w14:paraId="7753B594">
            <w:pPr>
              <w:pStyle w:val="2"/>
              <w:widowControl/>
              <w:shd w:val="clear" w:color="auto" w:fill="FFFFFF"/>
              <w:spacing w:before="0" w:beforeAutospacing="0" w:after="0" w:afterAutospacing="0" w:line="360" w:lineRule="auto"/>
              <w:jc w:val="center"/>
              <w:rPr>
                <w:rFonts w:ascii="仿宋" w:hAnsi="仿宋" w:eastAsia="仿宋" w:cs="仿宋"/>
                <w:b w:val="0"/>
                <w:sz w:val="22"/>
                <w:szCs w:val="22"/>
              </w:rPr>
            </w:pPr>
            <w:r>
              <w:rPr>
                <w:rFonts w:ascii="仿宋" w:hAnsi="仿宋" w:eastAsia="仿宋" w:cs="仿宋"/>
                <w:b w:val="0"/>
                <w:sz w:val="22"/>
                <w:szCs w:val="22"/>
              </w:rPr>
              <w:t>医院门急诊内科大楼新中心机房建设项目</w:t>
            </w:r>
          </w:p>
        </w:tc>
      </w:tr>
      <w:tr w14:paraId="59D3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163" w:type="dxa"/>
            <w:vAlign w:val="center"/>
          </w:tcPr>
          <w:p w14:paraId="27F1F21A">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07E1A504">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ascii="仿宋" w:hAnsi="仿宋" w:eastAsia="仿宋" w:cs="仿宋"/>
                <w:b w:val="0"/>
                <w:bCs/>
                <w:sz w:val="22"/>
                <w:szCs w:val="22"/>
                <w:shd w:val="clear" w:color="auto" w:fill="FFFFFF"/>
              </w:rPr>
              <w:t>技术参数要求</w:t>
            </w:r>
          </w:p>
        </w:tc>
        <w:tc>
          <w:tcPr>
            <w:tcW w:w="8319" w:type="dxa"/>
          </w:tcPr>
          <w:p w14:paraId="76844E8F">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一、机房装修工程，数量1项，具体要求如下：</w:t>
            </w:r>
          </w:p>
          <w:p w14:paraId="4CC6C86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1、天花吊顶采用铝合金微孔顶板规格：≥600×600×0.8mm，敷设厚度25mm带铝箔保温棉，采用嵌入式 LED 灯盘 600×600mm灯具；</w:t>
            </w:r>
          </w:p>
          <w:p w14:paraId="0103B67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2、墙面使用1200mm*3000mm，金属复合墙板厚度12mm，对原有窗户采用厚度 10mm石膏板封进行封窗，采用符合消防甲级A类标准的双开甲级钢制防火门；</w:t>
            </w:r>
          </w:p>
          <w:p w14:paraId="067BEE44">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3、机房地面采用600mm×600mm×35mm，灰白，无边，敷设厚度25mm带铝箔保温棉；</w:t>
            </w:r>
          </w:p>
          <w:p w14:paraId="5B7063E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4、地面使用规格：30mm*3mm接地扁铜做接地处理、设备采用ZR-BVR16mm2、ZR-BVR6mm2对机房设备进行接地处理；</w:t>
            </w:r>
          </w:p>
          <w:p w14:paraId="01B6231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5、安装一套机房消防系统，使用无管道七氟丙烷气体为主机房、配电间为机房内部预防处理，并增设多个传感器；</w:t>
            </w:r>
          </w:p>
          <w:p w14:paraId="436C24F5">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6、新风系统出风及回风口安装。</w:t>
            </w:r>
          </w:p>
          <w:p w14:paraId="26D2A66C">
            <w:pPr>
              <w:spacing w:after="0" w:line="360" w:lineRule="exact"/>
              <w:jc w:val="left"/>
              <w:rPr>
                <w:rFonts w:hint="eastAsia" w:ascii="仿宋" w:hAnsi="仿宋" w:eastAsia="仿宋" w:cs="仿宋"/>
                <w:color w:val="auto"/>
                <w:szCs w:val="22"/>
              </w:rPr>
            </w:pPr>
            <w:bookmarkStart w:id="0" w:name="OLE_LINK2"/>
            <w:r>
              <w:rPr>
                <w:rFonts w:hint="eastAsia" w:ascii="仿宋" w:hAnsi="仿宋" w:eastAsia="仿宋" w:cs="仿宋"/>
                <w:b/>
                <w:bCs/>
                <w:color w:val="auto"/>
                <w:szCs w:val="22"/>
              </w:rPr>
              <w:t>二、</w:t>
            </w:r>
            <w:bookmarkEnd w:id="0"/>
            <w:r>
              <w:rPr>
                <w:rFonts w:hint="eastAsia" w:ascii="仿宋" w:hAnsi="仿宋" w:eastAsia="仿宋" w:cs="仿宋"/>
                <w:b/>
                <w:bCs/>
                <w:color w:val="auto"/>
                <w:szCs w:val="22"/>
              </w:rPr>
              <w:t>IT机柜，数量42台，具体要求如下：</w:t>
            </w:r>
            <w:r>
              <w:rPr>
                <w:rFonts w:hint="eastAsia" w:ascii="仿宋" w:hAnsi="仿宋" w:eastAsia="仿宋" w:cs="仿宋"/>
                <w:color w:val="auto"/>
                <w:szCs w:val="22"/>
              </w:rPr>
              <w:br w:type="textWrapping"/>
            </w:r>
            <w:r>
              <w:rPr>
                <w:rFonts w:hint="eastAsia" w:ascii="仿宋" w:hAnsi="仿宋" w:eastAsia="仿宋" w:cs="仿宋"/>
                <w:color w:val="auto"/>
                <w:szCs w:val="22"/>
              </w:rPr>
              <w:t>1.外形尺寸：IT机柜规格（W*D*H）：600mm*1200mm*2000mm，颜色：黑色RAL9005，安装空间：42U。</w:t>
            </w:r>
          </w:p>
          <w:p w14:paraId="194C9A7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2.机柜涂覆层应表面光洁、色泽均匀、无流挂、无露底；金属件无毛刺、无锈蚀。机柜门板、侧板平整，无扭曲、无变形、也不明显抖动；门板开孔均匀。</w:t>
            </w:r>
          </w:p>
          <w:p w14:paraId="2ACEC49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3.机柜由主框架、顶板、底板、前后门、侧横梁、内立柱和固定层板组成。其中主框架、顶底板、侧横梁、内立柱的材料厚度不小于2.0mm，前后门的材料厚度不小于1.5mm，侧板的材料厚度不小于1.2mm。</w:t>
            </w:r>
          </w:p>
          <w:p w14:paraId="595883E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4.机柜顶部与底部预留多处线缆管理通道，底部走线孔可按需调整；满足多种走线方案：上进上出线，下进下出线，上进下出线，下进上出线；</w:t>
            </w:r>
          </w:p>
          <w:p w14:paraId="33C95E2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5.承载能力：机柜静态承载能力不小于3000kg。</w:t>
            </w:r>
          </w:p>
          <w:p w14:paraId="4F2EF110">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6.抗震：机柜带载不低于650kg测试通过8、9级烈度结构抗地震考核。</w:t>
            </w:r>
          </w:p>
          <w:p w14:paraId="56E2D14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7.2米机柜内部满足42U以上空间</w:t>
            </w:r>
          </w:p>
          <w:p w14:paraId="56842C5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8.门和侧板为可拆卸结构，门的开合转动灵活、锁定可靠、施工安装和维护方便。前门单开网孔门开孔区面积比≥80％。网孔开孔率≥73％，后门双开，后门开孔区面积比≥70％，网孔开孔率≥74％。</w:t>
            </w:r>
          </w:p>
          <w:p w14:paraId="27A52C3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9.机柜在带载不低于1500kg测试通过动载DL4振动冲击试验。</w:t>
            </w:r>
          </w:p>
          <w:p w14:paraId="069E1F70">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10.机柜耐电压强度：要求机柜内各带电回路以及两个非电气连接的带电回路之间，应能承受2500V，50HZ正弦试验电压1min，并不出现击穿或者飞弧现象，漏电流不超过0.9mA；</w:t>
            </w:r>
          </w:p>
          <w:p w14:paraId="7B28BCE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11.机柜附件：每个机柜含后门左右各1条宽度不小于85mm垂直理线板、1套接地组件和19英寸安装接地铜排（3*15mm²）、4个运输脚轮。每台机柜配置不少于10块1U盲板、5块2U盲板、1块承重托盘、1块L型支架、1条水平理线器；</w:t>
            </w:r>
          </w:p>
          <w:p w14:paraId="64E443C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12.机柜应满足GB/T26572-2011标准，通过电子电气产品有害物质检测。</w:t>
            </w:r>
          </w:p>
          <w:p w14:paraId="240A3E2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13.为满足机房安全性，机柜内盲板、密封圈、侧板卡、毛刷、脚轮等部件应符合GB/T5169.16,满足垂直燃烧V-0的要求。</w:t>
            </w:r>
          </w:p>
          <w:p w14:paraId="37FE6157">
            <w:pPr>
              <w:spacing w:after="0" w:line="360" w:lineRule="exact"/>
              <w:jc w:val="left"/>
              <w:rPr>
                <w:rFonts w:hint="eastAsia" w:ascii="仿宋" w:hAnsi="仿宋" w:eastAsia="仿宋" w:cs="仿宋"/>
                <w:color w:val="auto"/>
                <w:szCs w:val="22"/>
              </w:rPr>
            </w:pPr>
            <w:r>
              <w:rPr>
                <w:rFonts w:hint="eastAsia" w:ascii="仿宋" w:hAnsi="仿宋" w:eastAsia="仿宋" w:cs="仿宋"/>
                <w:b/>
                <w:bCs/>
                <w:color w:val="auto"/>
                <w:szCs w:val="22"/>
              </w:rPr>
              <w:t>三、封闭冷通道，数量1套，具体要求如下：</w:t>
            </w:r>
            <w:r>
              <w:rPr>
                <w:rFonts w:hint="eastAsia" w:ascii="仿宋" w:hAnsi="仿宋" w:eastAsia="仿宋" w:cs="仿宋"/>
                <w:color w:val="auto"/>
                <w:szCs w:val="22"/>
              </w:rPr>
              <w:br w:type="textWrapping"/>
            </w:r>
            <w:r>
              <w:rPr>
                <w:rFonts w:hint="eastAsia" w:ascii="仿宋" w:hAnsi="仿宋" w:eastAsia="仿宋" w:cs="仿宋"/>
                <w:color w:val="auto"/>
                <w:szCs w:val="22"/>
              </w:rPr>
              <w:t>1、单组含3个通道功能天窗、21个翻转天窗、28个顶部线槽、2个通道门楣及配套后挡板等；</w:t>
            </w:r>
            <w:r>
              <w:rPr>
                <w:rFonts w:hint="eastAsia" w:ascii="仿宋" w:hAnsi="仿宋" w:eastAsia="仿宋" w:cs="仿宋"/>
                <w:color w:val="auto"/>
                <w:szCs w:val="22"/>
              </w:rPr>
              <w:br w:type="textWrapping"/>
            </w:r>
            <w:r>
              <w:rPr>
                <w:rFonts w:hint="eastAsia" w:ascii="仿宋" w:hAnsi="仿宋" w:eastAsia="仿宋" w:cs="仿宋"/>
                <w:color w:val="auto"/>
                <w:szCs w:val="22"/>
              </w:rPr>
              <w:t>2.控制天窗上可安装摄像头、温湿度传感器、烟雾传感器、通道照明红外传感及预留消防喷头深入孔等；</w:t>
            </w:r>
          </w:p>
          <w:p w14:paraId="6B07EFB1">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通道上部天窗为活动天窗，开启后悬停位置要求确保冷通道的净高不少于2000mm，开启角度不小于80度，并且可根据要求调节开启角度，同时不影响日常维护工作和维护人员安全。通道系统应兼具功能性、透光性及美观性，固定型天窗和翻转型天窗透光材质应使用钢化玻璃，厚度不小于5mm，天窗玻璃面积占比应保证不小于90%。要求钢化玻璃透光率应不小于89%。</w:t>
            </w:r>
          </w:p>
          <w:p w14:paraId="2A834EB7">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线槽每台机柜配置1套，上走线，由两块侧板、一块托板、一块分隔板卡接组成。中间的分隔板用以分隔AB路强电或分隔光缆和网线，根据线缆数量的不同，可以前后挪动隔板调整位置。采用高强度A级优质碳素冷轧钢板，侧板及托板厚度不小于1.5mm；模块应具备强弱电走线装置，应支持模块化设计、去工程化安装特性，并能以机柜为单位进行扩展，走线槽应能满足跨立柱、跨机柜列及跨模块安装要求。走线槽具有信号线和电源线隔离设计，隔离信号线和电源线的走线。</w:t>
            </w:r>
          </w:p>
          <w:p w14:paraId="0A6F8E3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5.要求整体模块机房（包含冷通道）通过8、9级烈度结构抗地震考核，满足YD 5083-2005规范要求。</w:t>
            </w:r>
          </w:p>
          <w:p w14:paraId="74B05FC5">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 通道门楣要求带LCD屏,颜色为Ral9005；</w:t>
            </w:r>
          </w:p>
          <w:p w14:paraId="2D570FD0">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通道内部应有明确的状态氛围灯，每个柜位一套，需保证至少有4种颜色，且具备四种颜色指示灯灯光与告警指示联动功能，在微模块产生告警后可与灯光进行联动。能够与一级告警、二级告警、三级告警正常状态进行联动。</w:t>
            </w:r>
          </w:p>
          <w:p w14:paraId="0006732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8.具备告警收敛功能，冷通道门采用告警联动指示灯，具备7种颜色灯光，能够进行联动警示。</w:t>
            </w:r>
          </w:p>
          <w:p w14:paraId="127CA225">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9.微模块满足GB/T41783-2022标准中A级认证等级。</w:t>
            </w:r>
          </w:p>
          <w:p w14:paraId="52652C6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10.投标设备（微模块）在35℃回风工况条件下：</w:t>
            </w:r>
          </w:p>
          <w:p w14:paraId="0E652D14">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75%负载条件下PUE≤1.15，100%负载条件下PUE≤1.20；</w:t>
            </w:r>
          </w:p>
          <w:p w14:paraId="5A7F085E">
            <w:pPr>
              <w:numPr>
                <w:ilvl w:val="0"/>
                <w:numId w:val="1"/>
              </w:numPr>
              <w:spacing w:after="0" w:line="360" w:lineRule="exact"/>
              <w:jc w:val="left"/>
              <w:rPr>
                <w:rFonts w:hint="eastAsia" w:ascii="仿宋" w:hAnsi="仿宋" w:eastAsia="仿宋" w:cs="仿宋"/>
                <w:color w:val="auto"/>
                <w:szCs w:val="22"/>
              </w:rPr>
            </w:pPr>
            <w:r>
              <w:rPr>
                <w:rFonts w:ascii="仿宋" w:hAnsi="仿宋" w:eastAsia="仿宋" w:cs="仿宋"/>
                <w:color w:val="auto"/>
                <w:szCs w:val="22"/>
              </w:rPr>
              <w:t>兼容性：为保证微模块机房整体质量，硬件组件之间的协调统一和通讯系统的兼容性，方便售后运维及安全性，本次所提供的模块化机房的IT机柜、封闭冷通道、</w:t>
            </w:r>
            <w:r>
              <w:rPr>
                <w:rFonts w:hint="eastAsia" w:ascii="仿宋" w:hAnsi="仿宋" w:eastAsia="仿宋" w:cs="仿宋"/>
                <w:color w:val="auto"/>
                <w:szCs w:val="22"/>
              </w:rPr>
              <w:t>模块化</w:t>
            </w:r>
            <w:r>
              <w:rPr>
                <w:rFonts w:ascii="仿宋" w:hAnsi="仿宋" w:eastAsia="仿宋" w:cs="仿宋"/>
                <w:color w:val="auto"/>
                <w:szCs w:val="22"/>
              </w:rPr>
              <w:t>UPS、PDU、行级精密空调、房间级空调、智慧机柜系统、动力与环境监控系统须为同一品牌，实现机房强电数据和动环数据的实时同步，并且能通过监控大屏进行统一呈现。</w:t>
            </w:r>
          </w:p>
          <w:p w14:paraId="5670EF84">
            <w:pPr>
              <w:numPr>
                <w:ilvl w:val="0"/>
                <w:numId w:val="1"/>
              </w:num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冷通道端门钢化玻璃厚度不低于12mm；</w:t>
            </w:r>
          </w:p>
          <w:p w14:paraId="45A16DF9">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四、供配电系统</w:t>
            </w:r>
          </w:p>
          <w:p w14:paraId="5D04CD2F">
            <w:pPr>
              <w:spacing w:after="0" w:line="360" w:lineRule="exact"/>
              <w:jc w:val="left"/>
              <w:rPr>
                <w:rFonts w:hint="eastAsia" w:ascii="仿宋" w:hAnsi="仿宋" w:eastAsia="仿宋" w:cs="仿宋"/>
                <w:b/>
                <w:bCs/>
                <w:color w:val="auto"/>
                <w:szCs w:val="22"/>
              </w:rPr>
            </w:pPr>
            <w:bookmarkStart w:id="1" w:name="OLE_LINK4"/>
            <w:r>
              <w:rPr>
                <w:rFonts w:hint="eastAsia" w:ascii="仿宋" w:hAnsi="仿宋" w:eastAsia="仿宋" w:cs="仿宋"/>
                <w:color w:val="auto"/>
                <w:szCs w:val="22"/>
              </w:rPr>
              <w:t>（1）ATS 配电柜，数量1套，具体要求如下</w:t>
            </w:r>
            <w:r>
              <w:rPr>
                <w:rFonts w:hint="eastAsia" w:ascii="仿宋" w:hAnsi="仿宋" w:eastAsia="仿宋" w:cs="仿宋"/>
                <w:b/>
                <w:bCs/>
                <w:color w:val="auto"/>
                <w:szCs w:val="22"/>
              </w:rPr>
              <w:t>：</w:t>
            </w:r>
          </w:p>
          <w:p w14:paraId="1C407B36">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1、断路器要求：1、断路器要求：总开关ATS PC级 4P 800A*1、市电输入MCCB 2*800A/3P; 输出支路 ;3P 630A*2，3P 125A*1，3P/63A*7个、1P16A*7个</w:t>
            </w:r>
          </w:p>
          <w:p w14:paraId="70C3991C">
            <w:pPr>
              <w:spacing w:after="0" w:line="360" w:lineRule="exact"/>
              <w:jc w:val="left"/>
              <w:rPr>
                <w:rFonts w:hint="eastAsia" w:ascii="仿宋" w:hAnsi="仿宋" w:eastAsia="仿宋" w:cs="仿宋"/>
                <w:b/>
                <w:bCs/>
                <w:color w:val="auto"/>
                <w:szCs w:val="22"/>
              </w:rPr>
            </w:pPr>
            <w:r>
              <w:rPr>
                <w:rFonts w:ascii="仿宋" w:hAnsi="仿宋" w:eastAsia="仿宋" w:cs="仿宋"/>
                <w:color w:val="auto"/>
                <w:szCs w:val="22"/>
              </w:rPr>
              <w:t>断路器品牌：国产优质品牌。</w:t>
            </w:r>
          </w:p>
          <w:bookmarkEnd w:id="1"/>
          <w:p w14:paraId="1AD5C6DA">
            <w:pPr>
              <w:numPr>
                <w:ilvl w:val="0"/>
                <w:numId w:val="2"/>
              </w:numPr>
              <w:spacing w:after="0" w:line="360" w:lineRule="exact"/>
              <w:jc w:val="left"/>
              <w:rPr>
                <w:rFonts w:hint="eastAsia" w:ascii="仿宋" w:hAnsi="仿宋" w:eastAsia="仿宋" w:cs="仿宋"/>
                <w:b/>
                <w:bCs/>
                <w:color w:val="auto"/>
                <w:szCs w:val="22"/>
              </w:rPr>
            </w:pPr>
            <w:bookmarkStart w:id="2" w:name="OLE_LINK5"/>
            <w:r>
              <w:rPr>
                <w:rFonts w:hint="eastAsia" w:ascii="仿宋" w:hAnsi="仿宋" w:eastAsia="仿宋" w:cs="仿宋"/>
                <w:color w:val="auto"/>
                <w:szCs w:val="22"/>
              </w:rPr>
              <w:t>UPS 输入输出柜，数量1套，具体要求如下</w:t>
            </w:r>
            <w:r>
              <w:rPr>
                <w:rFonts w:hint="eastAsia" w:ascii="仿宋" w:hAnsi="仿宋" w:eastAsia="仿宋" w:cs="仿宋"/>
                <w:b/>
                <w:bCs/>
                <w:color w:val="auto"/>
                <w:szCs w:val="22"/>
              </w:rPr>
              <w:t>：</w:t>
            </w:r>
          </w:p>
          <w:p w14:paraId="163A6074">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1、断路器要求：总开关 3P 630A*2、3P 125A*1、输出支路 ; UPS输出3P 630A*2、3P 125A*1，UPS旁路4P 630A*2、4P 125A*1带锁，空调3P/63A*2个</w:t>
            </w:r>
          </w:p>
          <w:p w14:paraId="58931203">
            <w:pPr>
              <w:spacing w:after="0" w:line="360" w:lineRule="exact"/>
              <w:jc w:val="left"/>
              <w:rPr>
                <w:rFonts w:hint="eastAsia" w:ascii="仿宋" w:hAnsi="仿宋" w:eastAsia="仿宋" w:cs="仿宋"/>
                <w:b/>
                <w:bCs/>
                <w:color w:val="auto"/>
                <w:szCs w:val="22"/>
              </w:rPr>
            </w:pPr>
            <w:r>
              <w:rPr>
                <w:rFonts w:ascii="仿宋" w:hAnsi="仿宋" w:eastAsia="仿宋" w:cs="仿宋"/>
                <w:color w:val="auto"/>
                <w:szCs w:val="22"/>
              </w:rPr>
              <w:t>断路器品牌：国产优质品牌。</w:t>
            </w:r>
          </w:p>
          <w:bookmarkEnd w:id="2"/>
          <w:p w14:paraId="1D26EF0F">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（3）模块化 UPS 主机，数量2台，具体要求如下</w:t>
            </w:r>
            <w:r>
              <w:rPr>
                <w:rFonts w:hint="eastAsia" w:ascii="仿宋" w:hAnsi="仿宋" w:eastAsia="仿宋" w:cs="仿宋"/>
                <w:b/>
                <w:bCs/>
                <w:color w:val="auto"/>
                <w:szCs w:val="22"/>
              </w:rPr>
              <w:t>：</w:t>
            </w:r>
          </w:p>
          <w:p w14:paraId="79ADD07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1.为方便后续维护的便捷以及系统扩容，模块化UPS单台满配容量应不小于300kVA，本次单台UPS实际配置100kVA，单个功率模块容量：50kVA，功率模块尺寸不超过3U。</w:t>
            </w:r>
          </w:p>
          <w:p w14:paraId="1C24348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UPS功率模块并联均流采用分散控制技术，各模块间自主均流，不得采用集中控制模块（包括主备“1+1”控制模块）进行集中控制，以避免因控制模块故障而影响供电可靠性（如导致UPS切换至旁路输出）；功率模块需要采用独立的数字化双 DSP处理器，模块独立自主控制，避免单点故障风险。请提供详细说明所用控制方式为集中或分散控制。</w:t>
            </w:r>
          </w:p>
          <w:p w14:paraId="34003F9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3.系统采用：LED+LCD彩色液晶触摸屏管理，LCD触摸屏尺寸不小于10英寸，全图形化视窗管理操作界面，简洁直观，能够同时提供图形显示和数字显示，适合使用者查看状态、数据和进行操作控制。</w:t>
            </w:r>
          </w:p>
          <w:p w14:paraId="08954DB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功率模块设计独立的液晶显示屏LCD+LED显示+按键，液晶显示屏需显示单个功率模块的输入电压、输入频率、输入电流、逆变电压、逆变电流、逆变频率、电池电压、电池电流、负载百分比等各种状态参数，方便操作人员观察模块运行状态。</w:t>
            </w:r>
          </w:p>
          <w:p w14:paraId="62D2491A">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5.为了避免分散旁路存在的转旁路不同步、旁路容量减小、旁路电流不均衡等风险，要求采用更可靠、更稳定、过载能力更强的集中旁路。</w:t>
            </w:r>
          </w:p>
          <w:p w14:paraId="384B676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6.功率模块采用独特的风道设计，PCB板件设计与功率模块中散热元件分离，使风道更为通畅，减少关键部件积灰，延长主机寿命，极大提高环境适应性。</w:t>
            </w:r>
          </w:p>
          <w:p w14:paraId="3FCB998A">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7.完善的配电系统，标配旁路开关、输入开关、输出开关、维修开关方便用户安装维护，可兼容上下进线方式，便于用户接线。</w:t>
            </w:r>
          </w:p>
          <w:p w14:paraId="00CE0DEA">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8.具备无假负载自动老化测试功能，在现场无假负载的情况下，UPS能自动进行老化测试，节省验收时间及费用。</w:t>
            </w:r>
          </w:p>
          <w:p w14:paraId="7BF8881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9.功率模块具有休眠设置功能；当负载低于冗余模块的容量时，可设置进入休眠功能。</w:t>
            </w:r>
          </w:p>
          <w:p w14:paraId="088AFD5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10.EPO紧急电源关闭装置，如遇紧急情况，UPS可立即停止运行,提供远程和近端EPO装置，远程EPO可选常开和常闭两种方案。</w:t>
            </w:r>
          </w:p>
          <w:p w14:paraId="5726673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11.自动监测功能；UPS能够自动监测功率模块的工作状态,可监测输入输出的所有电压和电流的模拟量，还有模块内部的温度，母线电压等。</w:t>
            </w:r>
          </w:p>
          <w:p w14:paraId="7753B7E5">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12.UPS需具备市电输入软启动功能，减少对电网的冲击；无市电输入时，具备电池冷启动功能，可在带载情况下，直接由电池启动。</w:t>
            </w:r>
          </w:p>
          <w:p w14:paraId="61C2CE7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13.标配RS232和RS485通信接口，可选配两个智能通信卡槽，并可热插拔；卡槽可任意安装SNMP（网络协议和MODBUS协议）网络适配器、干接点接口卡等，提供免费的通信协议。</w:t>
            </w:r>
          </w:p>
          <w:p w14:paraId="09788CD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14.UPS具有来电延时启动功能，在UPS电池放电EOD保护后，市电恢复时，UPS来时启动延时输出时间可能过软件设置，实现延时启动，保障用电安全。</w:t>
            </w:r>
          </w:p>
          <w:p w14:paraId="70BF0DF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15为保证UPS产品的高效节能、绿色环保，UPS输入功率因数高达≥0.99（100%额定非线性负载），系统效率≥96%（50%额定阻性负载），输出功率因数均为1(1kVA=1kW)。</w:t>
            </w:r>
          </w:p>
          <w:p w14:paraId="6C885123">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16.为保证各功率模块输出一致性以及整个系统运行的稳定可靠，要求三相电压不平衡度：100%不平衡负载≤0.2%，输出电流不均衡度：50%负载≤0.5%。</w:t>
            </w:r>
          </w:p>
          <w:p w14:paraId="449DAEC4">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17.UPS产品的具有泰尔报告、节能证书和CE证书。</w:t>
            </w:r>
          </w:p>
          <w:p w14:paraId="70466333">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18.UPS产要求UPS主机具有CE认证证书。</w:t>
            </w:r>
          </w:p>
          <w:p w14:paraId="57589F1A">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19.要求具有CQC节能认证,及在ECO模式下＞98.5%。</w:t>
            </w:r>
          </w:p>
          <w:p w14:paraId="7DDC80C8">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（4）铅酸蓄电池，数量80节，具体要求如下</w:t>
            </w:r>
            <w:r>
              <w:rPr>
                <w:rFonts w:hint="eastAsia" w:ascii="仿宋" w:hAnsi="仿宋" w:eastAsia="仿宋" w:cs="仿宋"/>
                <w:b/>
                <w:bCs/>
                <w:color w:val="auto"/>
                <w:szCs w:val="22"/>
              </w:rPr>
              <w:t>：</w:t>
            </w:r>
          </w:p>
          <w:p w14:paraId="0F457EC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1.蓄电池规格为12V250AH；</w:t>
            </w:r>
          </w:p>
          <w:p w14:paraId="781D778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2.蓄电池的连续浮充工作寿命应不少于5年（使用环境温度25℃）。</w:t>
            </w:r>
          </w:p>
          <w:p w14:paraId="1D7F4AB7">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3.蓄电池应能承受50kPa的正压或负压而不破裂，压力释放后壳体无残余变形。在正常工作中应无酸雾逸出；在充电过程中遇有明火，内部不应引爆；</w:t>
            </w:r>
          </w:p>
          <w:p w14:paraId="37620BD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4.蓄电池的安全阀应具有滤酸和自动开启、自动关闭的功能，其开阀压力应为10kPa～49kPa，闭阀压力应为1kPa～20kPa。</w:t>
            </w:r>
          </w:p>
          <w:p w14:paraId="476D549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5.蓄电池在使用中应无渗液、漏液、爬液和膨胀现象。极性正确，正负极性及端子有明显标志，便于连接。</w:t>
            </w:r>
          </w:p>
          <w:p w14:paraId="485390CE">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6.含2组电池配套电池连接线、电池架、电池开关和电池开关箱。</w:t>
            </w:r>
          </w:p>
          <w:p w14:paraId="48E70826">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（5）精密配电柜，数量1台，具体要求如下</w:t>
            </w:r>
            <w:r>
              <w:rPr>
                <w:rFonts w:hint="eastAsia" w:ascii="仿宋" w:hAnsi="仿宋" w:eastAsia="仿宋" w:cs="仿宋"/>
                <w:b/>
                <w:bCs/>
                <w:color w:val="auto"/>
                <w:szCs w:val="22"/>
              </w:rPr>
              <w:t>：</w:t>
            </w:r>
          </w:p>
          <w:p w14:paraId="6230876C">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1.精密列头柜尺寸与服务器机柜保持一致，要求配电柜主路开关不小于两路1*400A/3P，防雷模块不低于C级防雷模块。</w:t>
            </w:r>
          </w:p>
          <w:p w14:paraId="7AC83078">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要求配电柜支路开关不小于且不少于两路48*32A/1P，支路监测参数要求包含：支路额定电流、实际电流，支路负载百分比，支路开关状态，支路电流测量精度不低于0.5%，有功功率测量精度不低于2%，电能测量精度不低于2%。</w:t>
            </w:r>
          </w:p>
          <w:p w14:paraId="6CF85D8F">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3.采用不小于10寸液晶彩色触摸屏，监控板需能够实现可视化界面。</w:t>
            </w:r>
          </w:p>
          <w:p w14:paraId="0F2A1B6E">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4.母排应采用高电导率纯铜导体，表面需镀锡处理，含铜量不低于99.9%。</w:t>
            </w:r>
          </w:p>
          <w:p w14:paraId="5D6B14C4">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5、配电柜后部应有亚克力防护板，并有有电危险标识，防止非专业人员误触造成人员伤亡。</w:t>
            </w:r>
          </w:p>
          <w:p w14:paraId="700879D1">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6、配电柜面板应丝印有系统路线图，从主路到支路的连接关系一目了然。</w:t>
            </w:r>
          </w:p>
          <w:p w14:paraId="1036463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7. 母线监测参数包含：三相输入电压、电流、频率、无功功率、有功功率、功率因数、谐波百分比、电量、三相不平衡度、零地电压、零线电流，主路开关状态、负载百分比，主回路电压、电流测量精度不低于0.5%，有功/无功功率测量精度不低于1%，电能测量精度不低于1%。</w:t>
            </w:r>
          </w:p>
          <w:p w14:paraId="0D31104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8. 支持LCD显示屏声光告警，触摸屏消音。告警信息应按照重要程度分为提示告警、重要告警和紧急告警三级。智能监控板需提供以下报警：</w:t>
            </w:r>
          </w:p>
          <w:p w14:paraId="2E4AABF8">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1）主路欠压、过压、缺相、输入开关脱扣、单路掉电报警、电流互感器接线错误告警</w:t>
            </w:r>
          </w:p>
          <w:p w14:paraId="01B40EB5">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2）主路电流越限及超限告警，主回路过载告警及三相不平衡告警</w:t>
            </w:r>
          </w:p>
          <w:p w14:paraId="73A4DF69">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3）主路频率越限告警，电压总谐波率高告警，电流总谐波率高告警</w:t>
            </w:r>
          </w:p>
          <w:p w14:paraId="171BBF0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4）支路开关状态变化告警，过载告警，大电流冲击告警</w:t>
            </w:r>
          </w:p>
          <w:p w14:paraId="1E7D228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5）支路电流两段阈值报警功能，且报警阈值可调</w:t>
            </w:r>
          </w:p>
          <w:p w14:paraId="41A24F7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6）监控模块故障及智能监控板内部通讯失败告警</w:t>
            </w:r>
          </w:p>
          <w:p w14:paraId="0AD03BF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8.配电柜具备遥测、遥信功能，可监测输入电压、输入电流、输入频率、主要开关的开关状态、市电故障等状态，并在交流电源停电或恢复时，应具备声光告警信号。</w:t>
            </w:r>
          </w:p>
          <w:p w14:paraId="71992621">
            <w:pPr>
              <w:spacing w:after="0" w:line="360" w:lineRule="exact"/>
              <w:jc w:val="left"/>
              <w:rPr>
                <w:rFonts w:hint="eastAsia" w:ascii="仿宋" w:hAnsi="仿宋" w:eastAsia="仿宋" w:cs="仿宋"/>
                <w:b/>
                <w:bCs/>
                <w:color w:val="auto"/>
                <w:szCs w:val="22"/>
              </w:rPr>
            </w:pPr>
            <w:r>
              <w:rPr>
                <w:rFonts w:ascii="仿宋" w:hAnsi="仿宋" w:eastAsia="仿宋" w:cs="仿宋"/>
                <w:color w:val="auto"/>
                <w:szCs w:val="22"/>
              </w:rPr>
              <w:t>9.为了保证模块机房安全性，要求当配电单元通入额定电流时，插座、端子及断路器连接处的温升应不超过55℃，断路器壳体的温升不超过40℃。</w:t>
            </w:r>
          </w:p>
          <w:p w14:paraId="1B58B10F">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（6）PDU，数量84条，具体要求如下</w:t>
            </w:r>
            <w:r>
              <w:rPr>
                <w:rFonts w:hint="eastAsia" w:ascii="仿宋" w:hAnsi="仿宋" w:eastAsia="仿宋" w:cs="仿宋"/>
                <w:b/>
                <w:bCs/>
                <w:color w:val="auto"/>
                <w:szCs w:val="22"/>
              </w:rPr>
              <w:t>：</w:t>
            </w:r>
          </w:p>
          <w:p w14:paraId="348D43A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1.每个机柜标配2条PDU，为设备A/B路供电使用。两条PDU应为同一规格，互为备份。</w:t>
            </w:r>
          </w:p>
          <w:p w14:paraId="2A69F24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2.交流PUD采用黑色涂层，外壳选用优质型材或钢板，应具备强度高，坚固耐用，抗压性能、装配性能、耐蚀性能和装饰性能良好，表面喷涂效果好，工艺先进，纹路平整，美观大方等特点。</w:t>
            </w:r>
          </w:p>
          <w:p w14:paraId="3D81657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3.机柜PDU输出接口具有GB标准类型，10A的插座不少于20个，16A的插座不少于4个。</w:t>
            </w:r>
          </w:p>
          <w:p w14:paraId="281F4D5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4.机柜PDU接线应采用从UPS配电一体柜电源线直接接入机柜PDU的方式。</w:t>
            </w:r>
          </w:p>
          <w:p w14:paraId="53E7EAA3">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5.PDU应满足GB/T26572-2011标准，通过电子电气产品有害物质检测。</w:t>
            </w:r>
            <w:bookmarkStart w:id="4" w:name="_GoBack"/>
            <w:bookmarkEnd w:id="4"/>
          </w:p>
          <w:p w14:paraId="032140B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6.为满足机房安全性，PDU应应符合GB/T5169.16,满足垂直燃烧V-0的要求。</w:t>
            </w:r>
          </w:p>
          <w:p w14:paraId="2DBD5E1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7.工业连接器-32A-含公母头，2米电源线R/GBVV3*6。</w:t>
            </w:r>
          </w:p>
          <w:p w14:paraId="54D05501">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五、</w:t>
            </w:r>
            <w:r>
              <w:rPr>
                <w:rFonts w:hint="eastAsia" w:ascii="仿宋" w:hAnsi="仿宋" w:eastAsia="仿宋" w:cs="仿宋"/>
                <w:color w:val="auto"/>
                <w:sz w:val="22"/>
                <w:szCs w:val="22"/>
              </w:rPr>
              <w:t>机房精密制冷系统</w:t>
            </w:r>
          </w:p>
          <w:p w14:paraId="5759E95E">
            <w:pPr>
              <w:spacing w:after="0" w:line="360" w:lineRule="exact"/>
              <w:jc w:val="left"/>
              <w:rPr>
                <w:rFonts w:hint="eastAsia" w:ascii="仿宋" w:hAnsi="仿宋" w:eastAsia="仿宋" w:cs="仿宋"/>
                <w:color w:val="auto"/>
                <w:szCs w:val="22"/>
              </w:rPr>
            </w:pPr>
            <w:r>
              <w:rPr>
                <w:rFonts w:hint="eastAsia" w:ascii="仿宋" w:hAnsi="仿宋" w:eastAsia="仿宋" w:cs="仿宋"/>
                <w:b/>
                <w:bCs/>
                <w:color w:val="auto"/>
                <w:szCs w:val="22"/>
              </w:rPr>
              <w:t>（1）行级精密空调，数量3套，具体要求如下：</w:t>
            </w:r>
            <w:r>
              <w:rPr>
                <w:rFonts w:hint="eastAsia" w:ascii="仿宋" w:hAnsi="仿宋" w:eastAsia="仿宋" w:cs="仿宋"/>
                <w:color w:val="auto"/>
                <w:szCs w:val="22"/>
              </w:rPr>
              <w:br w:type="textWrapping"/>
            </w:r>
            <w:r>
              <w:rPr>
                <w:rFonts w:hint="eastAsia" w:ascii="仿宋" w:hAnsi="仿宋" w:eastAsia="仿宋" w:cs="仿宋"/>
                <w:color w:val="auto"/>
                <w:szCs w:val="22"/>
              </w:rPr>
              <w:t>1.尺寸：宽度600mm，高度深度与服务器机柜一致；总冷量≥42kw，显冷量≥42kw，风量≥8500m3/h，加湿量≥3kg/h，加热量≥6kW，水平送风模式；</w:t>
            </w:r>
          </w:p>
          <w:p w14:paraId="2F5AAB7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2.可以实现常温情况下最低10%的IT负载（即制冷量的10%）稳定除湿量功能，降低高湿环境下数据中心低载运行的IT设备结露风险。</w:t>
            </w:r>
          </w:p>
          <w:p w14:paraId="4470D8C9">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3.行级精密空调可支持制冷量10%～100%无级调节，按需输出冷量，大幅降低能耗；</w:t>
            </w:r>
          </w:p>
          <w:p w14:paraId="383967B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4.为了相应国家节能节耗政策，要求空调全年能效比应不小于4.1；</w:t>
            </w:r>
          </w:p>
          <w:p w14:paraId="0D4CC960">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5.具≥7寸LCD的真彩触摸显示屏，可以显示设备的运行模式与状态，并可设定设备参数，实现良好的人机交互</w:t>
            </w:r>
          </w:p>
          <w:p w14:paraId="55D61EF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6.机组具备联动与群控功能，群控采用高速、灵活的CAN通讯协议，同一区域可以将≥32套机组进行统一控制管理；</w:t>
            </w:r>
          </w:p>
          <w:p w14:paraId="126E172A">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w:t>
            </w:r>
            <w:r>
              <w:rPr>
                <w:rFonts w:hint="eastAsia"/>
                <w:color w:val="auto"/>
              </w:rPr>
              <w:t xml:space="preserve"> </w:t>
            </w:r>
            <w:r>
              <w:rPr>
                <w:rFonts w:hint="eastAsia" w:ascii="仿宋" w:hAnsi="仿宋" w:eastAsia="仿宋" w:cs="仿宋"/>
                <w:color w:val="auto"/>
                <w:szCs w:val="22"/>
              </w:rPr>
              <w:t>室内风机可在带电的情况下进行风机的热插拔，热插拔过程中不影响机组的正常运行。</w:t>
            </w:r>
          </w:p>
          <w:p w14:paraId="247B534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w:t>
            </w:r>
            <w:r>
              <w:rPr>
                <w:rFonts w:hint="eastAsia"/>
                <w:color w:val="auto"/>
              </w:rPr>
              <w:t xml:space="preserve"> </w:t>
            </w:r>
            <w:r>
              <w:rPr>
                <w:rFonts w:hint="eastAsia" w:ascii="仿宋" w:hAnsi="仿宋" w:eastAsia="仿宋" w:cs="仿宋"/>
                <w:color w:val="auto"/>
                <w:szCs w:val="22"/>
              </w:rPr>
              <w:t>行级精密空调支持制冷剂容量检测，避免制冷剂不足导致空调故障或制冷不足产生热点。</w:t>
            </w:r>
          </w:p>
          <w:p w14:paraId="2A371E1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w:t>
            </w:r>
            <w:r>
              <w:rPr>
                <w:rFonts w:hint="eastAsia"/>
                <w:color w:val="auto"/>
              </w:rPr>
              <w:t xml:space="preserve"> </w:t>
            </w:r>
            <w:r>
              <w:rPr>
                <w:rFonts w:hint="eastAsia" w:ascii="仿宋" w:hAnsi="仿宋" w:eastAsia="仿宋" w:cs="仿宋"/>
                <w:color w:val="auto"/>
                <w:szCs w:val="22"/>
              </w:rPr>
              <w:t>行级精密空调室内机噪音≤68dB ，室外机噪音≤66dB。</w:t>
            </w:r>
          </w:p>
          <w:p w14:paraId="1F8A3AE3">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w:t>
            </w:r>
            <w:r>
              <w:rPr>
                <w:rFonts w:hint="eastAsia"/>
                <w:color w:val="auto"/>
              </w:rPr>
              <w:t xml:space="preserve"> </w:t>
            </w:r>
            <w:r>
              <w:rPr>
                <w:rFonts w:hint="eastAsia" w:ascii="仿宋" w:hAnsi="仿宋" w:eastAsia="仿宋" w:cs="仿宋"/>
                <w:color w:val="auto"/>
                <w:szCs w:val="22"/>
              </w:rPr>
              <w:t>精密空调采用节能型的湿膜加湿器，最大加湿功耗需小于50W，具备显著的节能效果。</w:t>
            </w:r>
          </w:p>
          <w:p w14:paraId="1501EAD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11.支持空调机组380V±15%，50Hz±2Hz范围供电，适应恶劣电网环境。</w:t>
            </w:r>
            <w:r>
              <w:rPr>
                <w:rFonts w:hint="eastAsia" w:ascii="仿宋" w:hAnsi="仿宋" w:eastAsia="仿宋" w:cs="仿宋"/>
                <w:color w:val="auto"/>
                <w:szCs w:val="22"/>
              </w:rPr>
              <w:br w:type="textWrapping"/>
            </w:r>
            <w:r>
              <w:rPr>
                <w:rFonts w:hint="eastAsia" w:ascii="仿宋" w:hAnsi="仿宋" w:eastAsia="仿宋" w:cs="仿宋"/>
                <w:b/>
                <w:bCs/>
                <w:color w:val="auto"/>
                <w:szCs w:val="22"/>
              </w:rPr>
              <w:t>（2）房间级空调，数量2套，具体要求如下：</w:t>
            </w:r>
          </w:p>
          <w:p w14:paraId="059ADB74">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1.制冷量不小于12.5KW，风量不小于3200m3/h、显冷量不小于11.4KW、上送风正面回风；</w:t>
            </w:r>
          </w:p>
          <w:p w14:paraId="20E19E1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2.机组标配PTC电加热，加热量≥4kW,标配电极式加湿；</w:t>
            </w:r>
          </w:p>
          <w:p w14:paraId="0A7AFE53">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3.机组采用电子膨胀阀，保证系统运行的高效性和稳定性；</w:t>
            </w:r>
          </w:p>
          <w:p w14:paraId="2B7B7671">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4.机组标配防雷设计，具备不低于6kV防雷滤波，有效保证机组的运行安全性；</w:t>
            </w:r>
          </w:p>
          <w:p w14:paraId="3A7BA10C">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5.控制系统模块化设计，功能扩展灵活，支持现场升级;标配RS485接口，实现远程监控，支持MODBUS-TCP、SNMP等协议;支持来电自启及自动延时功能，电源切换恢复后设备可自启动运行;</w:t>
            </w:r>
          </w:p>
          <w:p w14:paraId="33DE149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6.标配真彩触摸屏,支持彩色图形化界面和触摸式操作;支持最大32台机组群控，实现轮值备用、同向自主、平均分配、按需分配的群控模式。</w:t>
            </w:r>
          </w:p>
          <w:p w14:paraId="69C8A66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7、满足CE认证要求。</w:t>
            </w:r>
          </w:p>
          <w:p w14:paraId="51A52E3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8.要求空调机组设备符合GB19413相关标准，经中国制冷空调设备产业联盟、中国制冷空调工业协会、中国冷冻空调设备标准化技术委员会联合确认的中国机房空调专业认证。</w:t>
            </w:r>
          </w:p>
          <w:p w14:paraId="48EBAC0E">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9.空调应满足《单元式空气调节机能效限定值及能效等级》要求。</w:t>
            </w:r>
          </w:p>
          <w:p w14:paraId="14348362">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10.空调满足国家强制产品认证。</w:t>
            </w:r>
          </w:p>
          <w:p w14:paraId="3DA10877">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六、</w:t>
            </w:r>
            <w:r>
              <w:rPr>
                <w:rFonts w:hint="eastAsia" w:ascii="仿宋" w:hAnsi="仿宋" w:eastAsia="仿宋" w:cs="仿宋"/>
                <w:color w:val="auto"/>
                <w:sz w:val="22"/>
                <w:szCs w:val="22"/>
              </w:rPr>
              <w:t>机房动环及智慧监控管理系统</w:t>
            </w:r>
          </w:p>
          <w:p w14:paraId="65CE8A1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w:t>
            </w:r>
            <w:r>
              <w:rPr>
                <w:rFonts w:hint="eastAsia" w:ascii="仿宋" w:hAnsi="仿宋" w:eastAsia="仿宋" w:cs="仿宋"/>
                <w:b/>
                <w:bCs/>
                <w:color w:val="auto"/>
                <w:szCs w:val="22"/>
              </w:rPr>
              <w:t>动力与环境监控系统，数量1套，具体要求如下：</w:t>
            </w:r>
          </w:p>
          <w:p w14:paraId="3F95159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系统概述：实现将2组冷通道及外部空调、温湿度、漏水检测、烟雾、视频、门禁等设备的不间断监控,所有监控信息由采集存储一体化采集器统一反馈到运维中心，发现部件故障或参数异常，即时采取邮件、微信、语音、电话、短信、声光等多种报警方式，记录历史数据和报警事件，部署不低于4套机房门禁、8套模块外视频监控、6个通道外温湿度传感器、6个通道外烟雾传感器；支持配电系统拓扑，可查看整个机房配电系统链路，支持PUE监测，通过手机APP对数据中心进行监控和浏览，并在具备外网条件时能通过微信推送告警(Andriod版)。</w:t>
            </w:r>
          </w:p>
          <w:p w14:paraId="5569E4E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硬件架构：采用“采集主机+传感器/监控卡”，机房监控集中化、一体化管理；软件架构：应同时支持C/S与B/S架构，可满足不同的监控管理需求，维护和升级方式简单，且支持至少20个用户同时访问；</w:t>
            </w:r>
          </w:p>
          <w:p w14:paraId="5A800BD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视图管理：系统应具备专用的组态工具支持数据视图，内置丰富的组态展示组件；支持制冷视图、配电室图配电视图、具备设备检索，支持自动生成当前监控系统自身的拓扑结构图功能，视图支持风格切换，支持大屏展示。</w:t>
            </w:r>
          </w:p>
          <w:p w14:paraId="7D54578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告警管理：平台提供了监控设备告警、查询告警/事件和设置告警远程通知等管理功能，包括短信告警，支持APP告警，便于更快地发现、定位并恢复设备故障。系统告警应至少分为紧急、重要、次要和提示四个等级，在系统中可对不同级别告警的颜色进行定义</w:t>
            </w:r>
          </w:p>
          <w:p w14:paraId="27AFD1D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4.数据管理：系统支持多个进程进行数据采集，避免单个采集进程崩溃造成数据采集服务不可用，同时多线程机制可让数据采集获得更大的内存空间，尽最大可能发挥系统的性能，提高数据采集效率。</w:t>
            </w:r>
          </w:p>
          <w:p w14:paraId="1F128E5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5.系统日志：系统将用户的登录信息(包括成功与不成功的登录)与操作信息记录下来，以供查询，包括用户名称、登录终端标识、登录时间和退出时间、操作用户、操作时间、操作名称、操作对象、操作结果等。</w:t>
            </w:r>
          </w:p>
          <w:p w14:paraId="25EC240F">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报表组件：系统内置报表功能组件，与管理平台共用一套密码系统，通过权限管理控制用户是否具有相关的操作权限，查看报表无需另外输入用户名与密码。支持报表模板、日志分析、报表定制、报表元素、报表导出。</w:t>
            </w:r>
          </w:p>
          <w:p w14:paraId="6F30159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7.联动管理：系统具备灵活的联动管理功能，当发生某一时间时，系统将根据预定义的子系统（设备）联动关系表联动对应子系统。</w:t>
            </w:r>
          </w:p>
          <w:p w14:paraId="22B9EA6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8.权限管理：基于角色的用户管理，在定义合法用户时，可对用户进行分权分域管理。系统验证用户的合法性及权限，确保只有授权的用户才能接入到管理系统。</w:t>
            </w:r>
          </w:p>
          <w:p w14:paraId="516308AD">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系统安全性:数据中心管理系统采用高安全设计，着重对操作系统、数据库、管理软件进行加固，可有效防御窃听、伪造、篡改、越权访问、病毒、网络入侵等危害动作，避免管理系统服务器成为用户网络中的安全短板。</w:t>
            </w:r>
          </w:p>
          <w:p w14:paraId="5F50ADB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10.系统扩展性:支持接口要求：智能化数据中心管理系统支持的北向接口协议：SNMP、C接口；南向接口协议：SNMP、MODBUS、电总。</w:t>
            </w:r>
          </w:p>
          <w:p w14:paraId="3525094B">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(2)智慧机柜系统，数量1套，具体要求如下：</w:t>
            </w:r>
          </w:p>
          <w:p w14:paraId="68E2447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系统界面：要求系统提供人性化界面视图，方便运维人员监控管理。</w:t>
            </w:r>
          </w:p>
          <w:p w14:paraId="4B6A126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1.要求部署不低于温湿度</w:t>
            </w:r>
            <w:r>
              <w:rPr>
                <w:rFonts w:hint="eastAsia" w:ascii="仿宋" w:hAnsi="仿宋" w:eastAsia="仿宋" w:cs="仿宋"/>
                <w:color w:val="auto"/>
                <w:szCs w:val="22"/>
              </w:rPr>
              <w:t>3</w:t>
            </w:r>
            <w:r>
              <w:rPr>
                <w:rFonts w:ascii="仿宋" w:hAnsi="仿宋" w:eastAsia="仿宋" w:cs="仿宋"/>
                <w:color w:val="auto"/>
                <w:szCs w:val="22"/>
              </w:rPr>
              <w:t>个、烟感</w:t>
            </w:r>
            <w:r>
              <w:rPr>
                <w:rFonts w:hint="eastAsia" w:ascii="仿宋" w:hAnsi="仿宋" w:eastAsia="仿宋" w:cs="仿宋"/>
                <w:color w:val="auto"/>
                <w:szCs w:val="22"/>
              </w:rPr>
              <w:t>3</w:t>
            </w:r>
            <w:r>
              <w:rPr>
                <w:rFonts w:ascii="仿宋" w:hAnsi="仿宋" w:eastAsia="仿宋" w:cs="仿宋"/>
                <w:color w:val="auto"/>
                <w:szCs w:val="22"/>
              </w:rPr>
              <w:t>个、红外</w:t>
            </w:r>
            <w:r>
              <w:rPr>
                <w:rFonts w:hint="eastAsia" w:ascii="仿宋" w:hAnsi="仿宋" w:eastAsia="仿宋" w:cs="仿宋"/>
                <w:color w:val="auto"/>
                <w:szCs w:val="22"/>
              </w:rPr>
              <w:t>3</w:t>
            </w:r>
            <w:r>
              <w:rPr>
                <w:rFonts w:ascii="仿宋" w:hAnsi="仿宋" w:eastAsia="仿宋" w:cs="仿宋"/>
                <w:color w:val="auto"/>
                <w:szCs w:val="22"/>
              </w:rPr>
              <w:t>台、漏水5套、视频监控</w:t>
            </w:r>
            <w:r>
              <w:rPr>
                <w:rFonts w:hint="eastAsia" w:ascii="仿宋" w:hAnsi="仿宋" w:eastAsia="仿宋" w:cs="仿宋"/>
                <w:color w:val="auto"/>
                <w:szCs w:val="22"/>
              </w:rPr>
              <w:t>2</w:t>
            </w:r>
            <w:r>
              <w:rPr>
                <w:rFonts w:ascii="仿宋" w:hAnsi="仿宋" w:eastAsia="仿宋" w:cs="仿宋"/>
                <w:color w:val="auto"/>
                <w:szCs w:val="22"/>
              </w:rPr>
              <w:t>个；通道端门部署不低于人脸指纹一体门禁2台及配套电源，磁力锁、指纹和密码发卡器各</w:t>
            </w:r>
            <w:r>
              <w:rPr>
                <w:rFonts w:hint="eastAsia" w:ascii="仿宋" w:hAnsi="仿宋" w:eastAsia="仿宋" w:cs="仿宋"/>
                <w:color w:val="auto"/>
                <w:szCs w:val="22"/>
              </w:rPr>
              <w:t>1</w:t>
            </w:r>
            <w:r>
              <w:rPr>
                <w:rFonts w:ascii="仿宋" w:hAnsi="仿宋" w:eastAsia="仿宋" w:cs="仿宋"/>
                <w:color w:val="auto"/>
                <w:szCs w:val="22"/>
              </w:rPr>
              <w:t>台、43寸端门触摸屏1台等传感器和终端；</w:t>
            </w:r>
          </w:p>
          <w:p w14:paraId="3F50CC9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2.具有国家版权局颁发的《计算机软件著作权登记证书》；</w:t>
            </w:r>
          </w:p>
          <w:p w14:paraId="19C58829">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3.系统监控界面支持一键切换2D/ 3D两种展示视图，通过2D和3D视图展示微模块设备布局，并通过显著的颜色(红色)展示告警设备，鼠标悬浮时展示设备的信息，可通过点击视图上设备即可进入对应监控页面，可对3D布局图进行缩放、旋转、回位操作。</w:t>
            </w:r>
          </w:p>
          <w:p w14:paraId="4A05556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4.要求供配电系统支持以拓扑图的方式展示微模块的配电链路逻辑图，并动态展示开关状态和相关链路节点与设备的能耗信息</w:t>
            </w:r>
            <w:r>
              <w:rPr>
                <w:rFonts w:hint="eastAsia" w:ascii="仿宋" w:hAnsi="仿宋" w:eastAsia="仿宋" w:cs="仿宋"/>
                <w:color w:val="auto"/>
                <w:szCs w:val="22"/>
              </w:rPr>
              <w:t>。</w:t>
            </w:r>
          </w:p>
          <w:p w14:paraId="49AB09D8">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5.</w:t>
            </w:r>
            <w:r>
              <w:rPr>
                <w:rFonts w:ascii="仿宋" w:hAnsi="仿宋" w:eastAsia="仿宋" w:cs="仿宋"/>
                <w:color w:val="auto"/>
                <w:szCs w:val="22"/>
              </w:rPr>
              <w:t>告警管理：要求系统提供告警管理功能，实现对模块化数据中心告警进行有效管理和高效响应</w:t>
            </w:r>
            <w:r>
              <w:rPr>
                <w:rFonts w:hint="eastAsia" w:ascii="仿宋" w:hAnsi="仿宋" w:eastAsia="仿宋" w:cs="仿宋"/>
                <w:color w:val="auto"/>
                <w:szCs w:val="22"/>
              </w:rPr>
              <w:t>。</w:t>
            </w:r>
          </w:p>
          <w:p w14:paraId="41A575B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6.</w:t>
            </w:r>
            <w:r>
              <w:rPr>
                <w:rFonts w:ascii="仿宋" w:hAnsi="仿宋" w:eastAsia="仿宋" w:cs="仿宋"/>
                <w:color w:val="auto"/>
                <w:szCs w:val="22"/>
              </w:rPr>
              <w:t>要求系统的告警等级可划分为紧急、严重、重要、次要、提示等五个级别，级别越高的报警，表示重要性和危害性越大。</w:t>
            </w:r>
          </w:p>
          <w:p w14:paraId="03A2BE70">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7</w:t>
            </w:r>
            <w:r>
              <w:rPr>
                <w:rFonts w:ascii="仿宋" w:hAnsi="仿宋" w:eastAsia="仿宋" w:cs="仿宋"/>
                <w:color w:val="auto"/>
                <w:szCs w:val="22"/>
              </w:rPr>
              <w:t>.要求系统支持多种告警事件产生规则，应支持两级阈值、变化率、变化值、变化动作事件的告警事件规则，以对应不同场景下告警产生</w:t>
            </w:r>
            <w:r>
              <w:rPr>
                <w:rFonts w:hint="eastAsia" w:ascii="仿宋" w:hAnsi="仿宋" w:eastAsia="仿宋" w:cs="仿宋"/>
                <w:color w:val="auto"/>
                <w:szCs w:val="22"/>
              </w:rPr>
              <w:t>。</w:t>
            </w:r>
          </w:p>
          <w:p w14:paraId="15707BF2">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w:t>
            </w:r>
            <w:r>
              <w:rPr>
                <w:rFonts w:ascii="仿宋" w:hAnsi="仿宋" w:eastAsia="仿宋" w:cs="仿宋"/>
                <w:color w:val="auto"/>
                <w:szCs w:val="22"/>
              </w:rPr>
              <w:t>.要求系统具备告警屏蔽能力，运维人员可根据告警事件（可基于设备、测点和事件目录维度选择）和屏蔽时间段定义告警屏蔽策略，符合条件的告警事件将被屏蔽，并在独立的屏蔽列表中管理，以便追溯。</w:t>
            </w:r>
          </w:p>
          <w:p w14:paraId="174FC1AB">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8</w:t>
            </w:r>
            <w:r>
              <w:rPr>
                <w:rFonts w:ascii="仿宋" w:hAnsi="仿宋" w:eastAsia="仿宋" w:cs="仿宋"/>
                <w:color w:val="auto"/>
                <w:szCs w:val="22"/>
              </w:rPr>
              <w:t>.要求系统具备告警通知能力，应支持邮件、电话、短信、声光、微信的通知方式，并具备告警通知日志。运维人员可根据通知方式、通知状态、通知时间等多种查询维度对历史通知进行查询和导出。</w:t>
            </w:r>
          </w:p>
          <w:p w14:paraId="69C56CEC">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9</w:t>
            </w:r>
            <w:r>
              <w:rPr>
                <w:rFonts w:ascii="仿宋" w:hAnsi="仿宋" w:eastAsia="仿宋" w:cs="仿宋"/>
                <w:color w:val="auto"/>
                <w:szCs w:val="22"/>
              </w:rPr>
              <w:t>.要求系统支持按告警等级联动灯带展示，至少支持四色展示。</w:t>
            </w:r>
          </w:p>
          <w:p w14:paraId="55F09597">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10</w:t>
            </w:r>
            <w:r>
              <w:rPr>
                <w:rFonts w:ascii="仿宋" w:hAnsi="仿宋" w:eastAsia="仿宋" w:cs="仿宋"/>
                <w:color w:val="auto"/>
                <w:szCs w:val="22"/>
              </w:rPr>
              <w:t>.报表管理：系统要求具备统计和分析的功能，便于运维人员统计分析；要求系统具备事件报表，运维人员可根据设备、事件等级、产生时间、解除时间、确认时间多种查询维度对事件记录进行查询，并支持自动统计和报表导出</w:t>
            </w:r>
          </w:p>
          <w:p w14:paraId="09A7A55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1</w:t>
            </w:r>
            <w:r>
              <w:rPr>
                <w:rFonts w:ascii="仿宋" w:hAnsi="仿宋" w:eastAsia="仿宋" w:cs="仿宋"/>
                <w:color w:val="auto"/>
                <w:szCs w:val="22"/>
              </w:rPr>
              <w:t>.要求系统具备计划报表，运维人员可按日、周、月配置订阅，可定义时间范围，通过邮件发送给指定的用户。</w:t>
            </w:r>
          </w:p>
          <w:p w14:paraId="7F7F9CA6">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2</w:t>
            </w:r>
            <w:r>
              <w:rPr>
                <w:rFonts w:ascii="仿宋" w:hAnsi="仿宋" w:eastAsia="仿宋" w:cs="仿宋"/>
                <w:color w:val="auto"/>
                <w:szCs w:val="22"/>
              </w:rPr>
              <w:t>.安全管理：要求系统系统具备安全管理策略，以便系统运行安全稳定；要求系统提供账号安全策略（连续密码错误次数、账号验证错误锁定时长）和密码安全策略（密码有效天数、密码到期提醒天数），可启用停用密码安全策略。</w:t>
            </w:r>
          </w:p>
          <w:p w14:paraId="5DA9918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3</w:t>
            </w:r>
            <w:r>
              <w:rPr>
                <w:rFonts w:ascii="仿宋" w:hAnsi="仿宋" w:eastAsia="仿宋" w:cs="仿宋"/>
                <w:color w:val="auto"/>
                <w:szCs w:val="22"/>
              </w:rPr>
              <w:t>.要求系统提供自监控功能，须支持监控系统CPU占有率、内存占有率和磁盘占有率的监控，可设置上述指标阈值，当超过阈值时以告警的方式提醒运维人员，以保证监控系统稳定运行。</w:t>
            </w:r>
          </w:p>
          <w:p w14:paraId="4D40C062">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4</w:t>
            </w:r>
            <w:r>
              <w:rPr>
                <w:rFonts w:ascii="仿宋" w:hAnsi="仿宋" w:eastAsia="仿宋" w:cs="仿宋"/>
                <w:color w:val="auto"/>
                <w:szCs w:val="22"/>
              </w:rPr>
              <w:t>.提供APP客户端，须能够支持安卓4.0及以上智能设备，须为独立的APP程序，而非web客户端。手机APP客户端须能显示机房的告警信息、能效指标、设备的状态参数等。</w:t>
            </w:r>
          </w:p>
          <w:p w14:paraId="48214F5C">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5</w:t>
            </w:r>
            <w:r>
              <w:rPr>
                <w:rFonts w:ascii="仿宋" w:hAnsi="仿宋" w:eastAsia="仿宋" w:cs="仿宋"/>
                <w:color w:val="auto"/>
                <w:szCs w:val="22"/>
              </w:rPr>
              <w:t>.要求APP具备监控功能，可查看所有设备具体信息（包括但不限于测点数据、设备数量统计、在线离线状态、历史曲线、告警事件、阈值设置），并可快速查看关注的设备。</w:t>
            </w:r>
          </w:p>
          <w:p w14:paraId="40EE5B82">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6</w:t>
            </w:r>
            <w:r>
              <w:rPr>
                <w:rFonts w:ascii="仿宋" w:hAnsi="仿宋" w:eastAsia="仿宋" w:cs="仿宋"/>
                <w:color w:val="auto"/>
                <w:szCs w:val="22"/>
              </w:rPr>
              <w:t>.要求APP具备告警功能，支持告警通知提醒接收和确认操作，运维人员可快速查看活动告警和历史告警详细信息（包括但不限于告警名称、定位、时间、触发值、阈值信息），并可查看该告警所在的设备详情。</w:t>
            </w:r>
          </w:p>
          <w:p w14:paraId="133950F6">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7</w:t>
            </w:r>
            <w:r>
              <w:rPr>
                <w:rFonts w:ascii="仿宋" w:hAnsi="仿宋" w:eastAsia="仿宋" w:cs="仿宋"/>
                <w:color w:val="auto"/>
                <w:szCs w:val="22"/>
              </w:rPr>
              <w:t>.要求APP支持能效展示，可展示微模块的PUE、DCIE、总能耗、IT能耗、负载率和总电度能效指标</w:t>
            </w:r>
          </w:p>
          <w:p w14:paraId="18E3B2D4">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8</w:t>
            </w:r>
            <w:r>
              <w:rPr>
                <w:rFonts w:ascii="仿宋" w:hAnsi="仿宋" w:eastAsia="仿宋" w:cs="仿宋"/>
                <w:color w:val="auto"/>
                <w:szCs w:val="22"/>
              </w:rPr>
              <w:t>.要求APP支持门禁、视频监控，可查看门的进出记录，支持远程开门操作，支持实时视频浏览。</w:t>
            </w:r>
          </w:p>
          <w:p w14:paraId="7250311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w:t>
            </w:r>
            <w:r>
              <w:rPr>
                <w:rFonts w:hint="eastAsia" w:ascii="仿宋" w:hAnsi="仿宋" w:eastAsia="仿宋" w:cs="仿宋"/>
                <w:color w:val="auto"/>
                <w:szCs w:val="22"/>
              </w:rPr>
              <w:t>9</w:t>
            </w:r>
            <w:r>
              <w:rPr>
                <w:rFonts w:ascii="仿宋" w:hAnsi="仿宋" w:eastAsia="仿宋" w:cs="仿宋"/>
                <w:color w:val="auto"/>
                <w:szCs w:val="22"/>
              </w:rPr>
              <w:t>.兼容性：为保证微模块机房整体质量，硬件组件之间的协调统一和通讯系统的兼容性，方便售后运维及安全性，本次所提供的模块化机房的IT机柜、封闭冷通道、</w:t>
            </w:r>
            <w:r>
              <w:rPr>
                <w:rFonts w:hint="eastAsia" w:ascii="仿宋" w:hAnsi="仿宋" w:eastAsia="仿宋" w:cs="仿宋"/>
                <w:color w:val="auto"/>
                <w:szCs w:val="22"/>
              </w:rPr>
              <w:t>模块化</w:t>
            </w:r>
            <w:r>
              <w:rPr>
                <w:rFonts w:ascii="仿宋" w:hAnsi="仿宋" w:eastAsia="仿宋" w:cs="仿宋"/>
                <w:color w:val="auto"/>
                <w:szCs w:val="22"/>
              </w:rPr>
              <w:t>UPS、PDU、行级精密空调、房间级空调、智慧机柜系统、动力与环境监控系统须为同一品牌，实现机房强电数据和动环数据的实时同步，并且能通过监控大屏进行统一呈现。</w:t>
            </w:r>
          </w:p>
          <w:p w14:paraId="0978943B">
            <w:pPr>
              <w:spacing w:after="0" w:line="360" w:lineRule="exact"/>
              <w:jc w:val="left"/>
              <w:rPr>
                <w:rFonts w:hint="eastAsia" w:ascii="仿宋" w:hAnsi="仿宋" w:eastAsia="仿宋" w:cs="仿宋"/>
                <w:b/>
                <w:bCs/>
                <w:color w:val="auto"/>
                <w:szCs w:val="22"/>
              </w:rPr>
            </w:pPr>
            <w:r>
              <w:rPr>
                <w:rFonts w:hint="eastAsia" w:ascii="仿宋" w:hAnsi="仿宋" w:eastAsia="仿宋" w:cs="仿宋"/>
                <w:color w:val="auto"/>
                <w:szCs w:val="22"/>
              </w:rPr>
              <w:t>20</w:t>
            </w:r>
            <w:r>
              <w:rPr>
                <w:rFonts w:ascii="仿宋" w:hAnsi="仿宋" w:eastAsia="仿宋" w:cs="仿宋"/>
                <w:color w:val="auto"/>
                <w:szCs w:val="22"/>
              </w:rPr>
              <w:t>.针对此项货物，供应商在供货时需对采购需求逐一演示以上软件功能，若不满足采购需求则应进行整改优化，否则不予验收。</w:t>
            </w:r>
          </w:p>
          <w:p w14:paraId="71DB508E">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(3)智能监控管理主机，数量1台，具体要求如下：</w:t>
            </w:r>
          </w:p>
          <w:p w14:paraId="05AE4F7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要求采集机通过RS485/Tcp/ip等方式将电源、空调、温湿度、烟感、红外监控对象的相关信息接受到后，然后通过再传送到综合监控服务器中。具体采集器性能要求如下：</w:t>
            </w:r>
          </w:p>
          <w:p w14:paraId="0B2BA06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1.采集单元应具备采集、数据处理、分析、告警上传、存储等功能，采用ARM架构。不低于2G内存，采用Linux操作系统平台，数据库支持SQL、Mysql等主流数据库；</w:t>
            </w:r>
          </w:p>
          <w:p w14:paraId="23B5B29D">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2.采用低功耗、散热好、抗干扰性较强、适应能力好、稳定性高的ARM处理器；</w:t>
            </w:r>
          </w:p>
          <w:p w14:paraId="0C91FC0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3.具有来电自启动、远程数据采集、数据预处理、脱网运行及WEB配置网页等诸多功能；</w:t>
            </w:r>
          </w:p>
          <w:p w14:paraId="577EDEA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4.具备至少16路RS485/RS232光隔离接口、至少12路DI、4路DO，端口具备12V/500mA供电能力。</w:t>
            </w:r>
          </w:p>
          <w:p w14:paraId="39309066">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5.1U机架安装。</w:t>
            </w:r>
          </w:p>
          <w:p w14:paraId="172069D5">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6.网络接口：2×10/100Base-T。</w:t>
            </w:r>
          </w:p>
          <w:p w14:paraId="5188BC83">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7.2组，DC12V/2A，2芯接线端子。</w:t>
            </w:r>
          </w:p>
          <w:p w14:paraId="05B4C6E9">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8.主机具备双电源，一主一备，单电源故障情况下支持热插拔更换，在线更换双电源输入AC220V，DC240。</w:t>
            </w:r>
          </w:p>
          <w:p w14:paraId="033F798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9.安装尺寸：1U机架</w:t>
            </w:r>
          </w:p>
          <w:p w14:paraId="35267302">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10.智能监控管理主机满足GB/T2423.1-2008《电工电子产品环境试验》规定的低温试验和高温试验。</w:t>
            </w:r>
          </w:p>
          <w:p w14:paraId="1F16DF55">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11.智能监控管理主机具有CE认证证书；</w:t>
            </w:r>
          </w:p>
          <w:p w14:paraId="4B8294EC">
            <w:pPr>
              <w:spacing w:after="0" w:line="360" w:lineRule="exact"/>
              <w:jc w:val="left"/>
              <w:rPr>
                <w:rFonts w:hint="eastAsia" w:ascii="仿宋" w:hAnsi="仿宋" w:eastAsia="仿宋" w:cs="仿宋"/>
                <w:b/>
                <w:bCs/>
                <w:color w:val="auto"/>
                <w:szCs w:val="22"/>
              </w:rPr>
            </w:pPr>
            <w:r>
              <w:rPr>
                <w:rFonts w:ascii="仿宋" w:hAnsi="仿宋" w:eastAsia="仿宋" w:cs="仿宋"/>
                <w:color w:val="auto"/>
                <w:szCs w:val="22"/>
              </w:rPr>
              <w:t>12.智能监控管理主机具应符合（EU）2015/863标准；</w:t>
            </w:r>
            <w:r>
              <w:rPr>
                <w:rFonts w:hint="eastAsia" w:ascii="仿宋" w:hAnsi="仿宋" w:eastAsia="仿宋" w:cs="仿宋"/>
                <w:color w:val="auto"/>
                <w:szCs w:val="22"/>
              </w:rPr>
              <w:br w:type="textWrapping"/>
            </w:r>
            <w:r>
              <w:rPr>
                <w:rFonts w:hint="eastAsia" w:ascii="仿宋" w:hAnsi="仿宋" w:eastAsia="仿宋" w:cs="仿宋"/>
                <w:b/>
                <w:bCs/>
                <w:color w:val="auto"/>
                <w:szCs w:val="22"/>
              </w:rPr>
              <w:t>七、综合布线系统，数量1项，具体要求如下：</w:t>
            </w:r>
          </w:p>
          <w:p w14:paraId="6B9801C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1、冷通道内单柜布线24芯MPO光缆，用于柜体之间万兆光纤通讯</w:t>
            </w:r>
          </w:p>
          <w:p w14:paraId="41899D57">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2、冷通道内单柜布线24条网络配线，用于柜体之间网络通讯</w:t>
            </w:r>
          </w:p>
          <w:p w14:paraId="5765EF4A">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八、微模块设备安装实施服务，数量1项，具体要求如下：</w:t>
            </w:r>
          </w:p>
          <w:p w14:paraId="7C99DE2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1.含微模块内部IT柜/空调/直流开关等实施电缆；</w:t>
            </w:r>
          </w:p>
          <w:p w14:paraId="35ED143A">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2.含微模块动环系统设备/门禁/视频/空调等控制线、信息线等材料；</w:t>
            </w:r>
          </w:p>
          <w:p w14:paraId="632DD19B">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3.含空调铜管/保温/给排水管网等材料、配件和充氮气保压、制冷剂等；</w:t>
            </w:r>
          </w:p>
          <w:p w14:paraId="6FCF0DA8">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4.端接配件；</w:t>
            </w:r>
          </w:p>
          <w:p w14:paraId="754BEAE0">
            <w:pPr>
              <w:spacing w:after="0" w:line="360" w:lineRule="exact"/>
              <w:jc w:val="left"/>
              <w:rPr>
                <w:rFonts w:hint="eastAsia" w:ascii="仿宋" w:hAnsi="仿宋" w:eastAsia="仿宋" w:cs="仿宋"/>
                <w:color w:val="auto"/>
                <w:szCs w:val="22"/>
              </w:rPr>
            </w:pPr>
            <w:r>
              <w:rPr>
                <w:rFonts w:ascii="仿宋" w:hAnsi="仿宋" w:eastAsia="仿宋" w:cs="仿宋"/>
                <w:color w:val="auto"/>
                <w:szCs w:val="22"/>
              </w:rPr>
              <w:t>5.含机柜/封闭冷通道/列头柜/UPS/电池/空调/动环等微模块设备运输、二次搬运、安装服务等</w:t>
            </w:r>
            <w:r>
              <w:rPr>
                <w:rFonts w:hint="eastAsia" w:ascii="仿宋" w:hAnsi="仿宋" w:eastAsia="仿宋" w:cs="仿宋"/>
                <w:color w:val="auto"/>
                <w:szCs w:val="22"/>
              </w:rPr>
              <w:t>。</w:t>
            </w:r>
          </w:p>
          <w:p w14:paraId="7C7E9586">
            <w:pPr>
              <w:spacing w:after="0" w:line="360" w:lineRule="exact"/>
              <w:jc w:val="left"/>
              <w:rPr>
                <w:rFonts w:hint="eastAsia" w:ascii="仿宋" w:hAnsi="仿宋" w:eastAsia="仿宋" w:cs="仿宋"/>
                <w:b/>
                <w:bCs/>
                <w:color w:val="auto"/>
                <w:szCs w:val="22"/>
              </w:rPr>
            </w:pPr>
            <w:r>
              <w:rPr>
                <w:rFonts w:hint="eastAsia" w:ascii="仿宋" w:hAnsi="仿宋" w:eastAsia="仿宋" w:cs="仿宋"/>
                <w:b/>
                <w:bCs/>
                <w:color w:val="auto"/>
                <w:szCs w:val="22"/>
              </w:rPr>
              <w:t>九、核心交换机，数量2台，具体要求如下：</w:t>
            </w:r>
          </w:p>
          <w:p w14:paraId="1F3B2327">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1、硬件架构：采用正交CLOS架构，业务槽位数≥8个，交换网板槽位≥6个。</w:t>
            </w:r>
          </w:p>
          <w:p w14:paraId="3AC0512E">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2、硬件性能：交换容量≥1900Tbps，包转发率≥460000Mpps（官网最小值）。</w:t>
            </w:r>
          </w:p>
          <w:p w14:paraId="7EF72C85">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3、单台配置：主控≥2个，40G光口≥40个,万兆光口≥96个，千兆电口≥48个，≥4*1600W电源。</w:t>
            </w:r>
          </w:p>
          <w:p w14:paraId="6B73F036">
            <w:pPr>
              <w:spacing w:after="0" w:line="360" w:lineRule="exact"/>
              <w:jc w:val="left"/>
              <w:rPr>
                <w:rFonts w:hint="eastAsia" w:ascii="仿宋" w:hAnsi="仿宋" w:eastAsia="仿宋" w:cs="仿宋"/>
                <w:color w:val="auto"/>
                <w:szCs w:val="22"/>
              </w:rPr>
            </w:pPr>
            <w:r>
              <w:rPr>
                <w:rFonts w:hint="eastAsia" w:ascii="仿宋" w:hAnsi="仿宋" w:eastAsia="仿宋" w:cs="仿宋"/>
                <w:color w:val="auto"/>
                <w:szCs w:val="22"/>
              </w:rPr>
              <w:t>4、功能特性：支持RIPng、OSPFv3、BGP4+、IS-ISv6协议，支持IPv6策略路由；支持内置智能图形化管理功能，能够实现通过图形化界面对全网设备配置及命令一键下发和版本智能升级；支持融合AC功能；支持多业务融合板卡。</w:t>
            </w:r>
          </w:p>
        </w:tc>
      </w:tr>
      <w:tr w14:paraId="2B94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trPr>
        <w:tc>
          <w:tcPr>
            <w:tcW w:w="1163" w:type="dxa"/>
            <w:vAlign w:val="center"/>
          </w:tcPr>
          <w:p w14:paraId="17212FF0">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ascii="仿宋" w:hAnsi="仿宋" w:eastAsia="仿宋" w:cs="仿宋"/>
                <w:b w:val="0"/>
                <w:bCs/>
                <w:sz w:val="22"/>
                <w:szCs w:val="22"/>
                <w:shd w:val="clear" w:color="auto" w:fill="FFFFFF"/>
              </w:rPr>
              <w:t>系统集成与接口要求</w:t>
            </w:r>
          </w:p>
        </w:tc>
        <w:tc>
          <w:tcPr>
            <w:tcW w:w="8319" w:type="dxa"/>
          </w:tcPr>
          <w:p w14:paraId="6F38D15E">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1、软件\硬件接口责任与费用界定</w:t>
            </w:r>
          </w:p>
          <w:p w14:paraId="71C4F26A">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投标总报价应包含微模块冷通道系统与医院现有机房基础设施、管理平台兼容互通/设备对接所需的开发、调试、测试、授权及第三方协调等全部费用，医院不再另行支付任何接口相关费用。中标方须负责接口联调的整体组织与协调，确保与各系统供应商顺利对接，保障项目按期上线并通过验收。</w:t>
            </w:r>
          </w:p>
        </w:tc>
      </w:tr>
      <w:tr w14:paraId="7743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1163" w:type="dxa"/>
            <w:vAlign w:val="center"/>
          </w:tcPr>
          <w:p w14:paraId="04FD0533">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ascii="仿宋" w:hAnsi="仿宋" w:eastAsia="仿宋" w:cs="仿宋"/>
                <w:b w:val="0"/>
                <w:bCs/>
                <w:sz w:val="22"/>
                <w:szCs w:val="22"/>
                <w:shd w:val="clear" w:color="auto" w:fill="FFFFFF"/>
              </w:rPr>
              <w:t>信息安全要求</w:t>
            </w:r>
          </w:p>
        </w:tc>
        <w:tc>
          <w:tcPr>
            <w:tcW w:w="8319" w:type="dxa"/>
          </w:tcPr>
          <w:p w14:paraId="79BD184A">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1、满足《数据中心设计规范》GB50174-2017有关要求。</w:t>
            </w:r>
          </w:p>
          <w:p w14:paraId="43E65DDA">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2、微模块系统满足国家颁布《数据中心基础设施施工及验收规范》（</w:t>
            </w:r>
            <w:r>
              <w:rPr>
                <w:rFonts w:ascii="仿宋" w:hAnsi="仿宋" w:eastAsia="仿宋" w:cs="仿宋"/>
                <w:color w:val="auto"/>
                <w:sz w:val="22"/>
                <w:szCs w:val="22"/>
              </w:rPr>
              <w:t>GB50462-2015</w:t>
            </w:r>
            <w:r>
              <w:rPr>
                <w:rFonts w:hint="eastAsia" w:ascii="仿宋" w:hAnsi="仿宋" w:eastAsia="仿宋" w:cs="仿宋"/>
                <w:color w:val="auto"/>
                <w:sz w:val="22"/>
                <w:szCs w:val="22"/>
              </w:rPr>
              <w:t>）</w:t>
            </w:r>
          </w:p>
          <w:p w14:paraId="6659D9DF">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《计算机场地通用规范》（</w:t>
            </w:r>
            <w:r>
              <w:rPr>
                <w:rFonts w:ascii="仿宋" w:hAnsi="仿宋" w:eastAsia="仿宋" w:cs="仿宋"/>
                <w:color w:val="auto"/>
                <w:sz w:val="22"/>
                <w:szCs w:val="22"/>
              </w:rPr>
              <w:t>GB/T2887-2011</w:t>
            </w:r>
            <w:r>
              <w:rPr>
                <w:rFonts w:hint="eastAsia" w:ascii="仿宋" w:hAnsi="仿宋" w:eastAsia="仿宋" w:cs="仿宋"/>
                <w:color w:val="auto"/>
                <w:sz w:val="22"/>
                <w:szCs w:val="22"/>
              </w:rPr>
              <w:t>）的相关规范。机房出入口配置电子门禁系统，防水和防潮处理、防静电、防雷处理。</w:t>
            </w:r>
          </w:p>
          <w:p w14:paraId="20083E1E">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3、核心交换机须符合《网络安全法》《网络安全等级保护基本要求（GB/T 22239-2019）》及国家网络关键设备安全技术规范，支持身份鉴别、访问控制、安全审计、入侵防范、端口安全、802.1X 认证、DHCP Snooping、ARP 防欺骗、防 MAC 泛洪与 DoS 攻击防护。</w:t>
            </w:r>
          </w:p>
        </w:tc>
      </w:tr>
      <w:tr w14:paraId="6C9F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163" w:type="dxa"/>
            <w:vAlign w:val="center"/>
          </w:tcPr>
          <w:p w14:paraId="000CFE20">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bookmarkStart w:id="3" w:name="_Toc524599079"/>
          </w:p>
          <w:p w14:paraId="0D7DAF13">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29B22E24">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33A0F217">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407429E8">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4378830C">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01482E11">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491BF953">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5138B301">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0738081B">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0B9BA604">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6D3C8F63">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4755C20D">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p>
          <w:p w14:paraId="40023494">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hint="default" w:ascii="仿宋" w:hAnsi="仿宋" w:eastAsia="仿宋" w:cs="仿宋"/>
                <w:b w:val="0"/>
                <w:bCs/>
                <w:sz w:val="22"/>
                <w:szCs w:val="22"/>
                <w:shd w:val="clear" w:color="auto" w:fill="FFFFFF"/>
              </w:rPr>
              <w:t>项目实施方案</w:t>
            </w:r>
            <w:bookmarkEnd w:id="3"/>
          </w:p>
        </w:tc>
        <w:tc>
          <w:tcPr>
            <w:tcW w:w="8319" w:type="dxa"/>
          </w:tcPr>
          <w:p w14:paraId="2FA7F306">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一.项目实施团队要求</w:t>
            </w:r>
          </w:p>
          <w:p w14:paraId="5922FE2D">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ascii="仿宋" w:hAnsi="仿宋" w:eastAsia="仿宋" w:cs="仿宋"/>
                <w:color w:val="auto"/>
                <w:sz w:val="22"/>
                <w:szCs w:val="22"/>
              </w:rPr>
              <w:t xml:space="preserve">中标方须组建专项实施团队，即 </w:t>
            </w:r>
            <w:r>
              <w:rPr>
                <w:rFonts w:hint="eastAsia" w:ascii="仿宋" w:hAnsi="仿宋" w:eastAsia="仿宋" w:cs="仿宋"/>
                <w:color w:val="auto"/>
                <w:sz w:val="22"/>
                <w:szCs w:val="22"/>
              </w:rPr>
              <w:t>9</w:t>
            </w:r>
            <w:r>
              <w:rPr>
                <w:rFonts w:ascii="仿宋" w:hAnsi="仿宋" w:eastAsia="仿宋" w:cs="仿宋"/>
                <w:color w:val="auto"/>
                <w:sz w:val="22"/>
                <w:szCs w:val="22"/>
              </w:rPr>
              <w:t xml:space="preserve"> 名实施工程师（含 1 名项目经理）、</w:t>
            </w:r>
            <w:r>
              <w:rPr>
                <w:rFonts w:hint="eastAsia" w:ascii="仿宋" w:hAnsi="仿宋" w:eastAsia="仿宋" w:cs="仿宋"/>
                <w:color w:val="auto"/>
                <w:sz w:val="22"/>
                <w:szCs w:val="22"/>
              </w:rPr>
              <w:t>2名数据中心基础设施原厂专家、5名高空作业工程师、1名高压电工操作工程师</w:t>
            </w:r>
            <w:r>
              <w:rPr>
                <w:rFonts w:ascii="仿宋" w:hAnsi="仿宋" w:eastAsia="仿宋" w:cs="仿宋"/>
                <w:color w:val="auto"/>
                <w:sz w:val="22"/>
                <w:szCs w:val="22"/>
              </w:rPr>
              <w:t>。</w:t>
            </w:r>
          </w:p>
          <w:p w14:paraId="2E7DEBC0">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（2）</w:t>
            </w:r>
            <w:r>
              <w:rPr>
                <w:rFonts w:ascii="仿宋" w:hAnsi="仿宋" w:eastAsia="仿宋" w:cs="仿宋"/>
                <w:color w:val="auto"/>
                <w:sz w:val="22"/>
                <w:szCs w:val="22"/>
              </w:rPr>
              <w:t>人员资质硬性要求：</w:t>
            </w:r>
          </w:p>
          <w:p w14:paraId="2FC9F1B4">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项目经理：</w:t>
            </w:r>
            <w:r>
              <w:rPr>
                <w:rFonts w:hint="eastAsia" w:ascii="仿宋" w:hAnsi="仿宋" w:eastAsia="仿宋" w:cs="仿宋"/>
                <w:color w:val="auto"/>
                <w:sz w:val="22"/>
                <w:szCs w:val="22"/>
              </w:rPr>
              <w:t>研究生及以上学历，具备10年相关工作经验；具备PMP项目管理证书、信息系统项目管理师证书、电工特种作业操作证、高处作业认证证书、高级职称证书。</w:t>
            </w:r>
          </w:p>
          <w:p w14:paraId="04B5E3C0">
            <w:pPr>
              <w:spacing w:after="0" w:line="360" w:lineRule="exact"/>
              <w:ind w:firstLine="440" w:firstLineChars="200"/>
              <w:jc w:val="left"/>
              <w:rPr>
                <w:rFonts w:hint="eastAsia" w:ascii="仿宋" w:hAnsi="仿宋" w:eastAsia="仿宋" w:cs="仿宋"/>
                <w:color w:val="auto"/>
                <w:sz w:val="22"/>
                <w:szCs w:val="22"/>
              </w:rPr>
            </w:pPr>
            <w:r>
              <w:rPr>
                <w:rFonts w:hint="eastAsia" w:ascii="仿宋" w:hAnsi="仿宋" w:eastAsia="仿宋" w:cs="仿宋"/>
                <w:color w:val="auto"/>
                <w:sz w:val="22"/>
                <w:szCs w:val="22"/>
              </w:rPr>
              <w:t>数据中心基础设施原厂专家：同时具备低压电工作业操作证、制冷与空调特种作业操作证，不少于2人；</w:t>
            </w:r>
          </w:p>
          <w:p w14:paraId="6676F214">
            <w:pPr>
              <w:spacing w:after="0" w:line="360" w:lineRule="exact"/>
              <w:ind w:firstLine="440" w:firstLineChars="200"/>
              <w:jc w:val="left"/>
              <w:rPr>
                <w:rFonts w:hint="eastAsia" w:ascii="仿宋" w:hAnsi="仿宋" w:eastAsia="仿宋" w:cs="仿宋"/>
                <w:color w:val="auto"/>
                <w:sz w:val="22"/>
                <w:szCs w:val="22"/>
              </w:rPr>
            </w:pPr>
            <w:r>
              <w:rPr>
                <w:rFonts w:hint="eastAsia" w:ascii="仿宋" w:hAnsi="仿宋" w:eastAsia="仿宋" w:cs="仿宋"/>
                <w:color w:val="auto"/>
                <w:sz w:val="22"/>
                <w:szCs w:val="22"/>
              </w:rPr>
              <w:t>高空作业工程师：具备高空作业证证书，不少于5人；</w:t>
            </w:r>
          </w:p>
          <w:p w14:paraId="42BF6B2B">
            <w:pPr>
              <w:spacing w:after="0" w:line="360" w:lineRule="exact"/>
              <w:ind w:firstLine="440" w:firstLineChars="200"/>
              <w:jc w:val="left"/>
              <w:rPr>
                <w:rFonts w:hint="eastAsia" w:ascii="仿宋" w:hAnsi="仿宋" w:eastAsia="仿宋" w:cs="仿宋"/>
                <w:color w:val="auto"/>
                <w:sz w:val="22"/>
                <w:szCs w:val="22"/>
              </w:rPr>
            </w:pPr>
            <w:r>
              <w:rPr>
                <w:rFonts w:hint="eastAsia" w:ascii="仿宋" w:hAnsi="仿宋" w:eastAsia="仿宋" w:cs="仿宋"/>
                <w:color w:val="auto"/>
                <w:sz w:val="22"/>
                <w:szCs w:val="22"/>
              </w:rPr>
              <w:t>高压电工操作工程师：具备高压电工操作作业证书，不少于1人；</w:t>
            </w:r>
          </w:p>
          <w:p w14:paraId="3BFE1561">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二、</w:t>
            </w:r>
            <w:r>
              <w:rPr>
                <w:rFonts w:ascii="仿宋" w:hAnsi="仿宋" w:eastAsia="仿宋" w:cs="仿宋"/>
                <w:color w:val="auto"/>
                <w:sz w:val="22"/>
                <w:szCs w:val="22"/>
              </w:rPr>
              <w:t>施工规范与流程要求</w:t>
            </w:r>
          </w:p>
          <w:p w14:paraId="1D8700C8">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（1）</w:t>
            </w:r>
            <w:r>
              <w:rPr>
                <w:rFonts w:ascii="仿宋" w:hAnsi="仿宋" w:eastAsia="仿宋" w:cs="仿宋"/>
                <w:color w:val="auto"/>
                <w:sz w:val="22"/>
                <w:szCs w:val="22"/>
              </w:rPr>
              <w:t>施工前准备规范：</w:t>
            </w:r>
          </w:p>
          <w:p w14:paraId="5F35CAA0">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中标方需在开工前 7 个工作日提交详细施工组织设计方案，包含施工进度计划（精确到每日工序）、安全管理方案、质量控制计划、应急预案等，经医院及监理单位审核通过后方可开工。</w:t>
            </w:r>
          </w:p>
          <w:p w14:paraId="2DAB5164">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施工前组织全员培训，培训内容涵盖医院机房管理制度、施工规范、安全要求、应急流程等，培训考核通过率需达到 100%，培训记录及考核结果提交医院备案。</w:t>
            </w:r>
          </w:p>
          <w:p w14:paraId="205E2712">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（2）</w:t>
            </w:r>
            <w:r>
              <w:rPr>
                <w:rFonts w:ascii="仿宋" w:hAnsi="仿宋" w:eastAsia="仿宋" w:cs="仿宋"/>
                <w:color w:val="auto"/>
                <w:sz w:val="22"/>
                <w:szCs w:val="22"/>
              </w:rPr>
              <w:t>施工过程管控要求：</w:t>
            </w:r>
          </w:p>
          <w:p w14:paraId="570DAACA">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施工工艺标准：严格遵循《数据中心设计规范》（GB50174-2017）、《模块化数据中心设计规范》（GB/T41783-2022）等国家标准，机房装修、综合布线、设备安装等关键工序需留存影像资料，每道工序完成后需经医院、监理单位联合验收，验收合格率 100% 方可进入下一道工序。</w:t>
            </w:r>
          </w:p>
          <w:p w14:paraId="425DEBA3">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安全施工要求：施工现场设置明显安全警示标识，施工人员全程佩戴安全帽、防护服、绝缘鞋等防护用品；动火作业需提前 24 小时提交申请，配备专人监护及灭火器材；施工现场严禁吸烟，安全事故发生率需为 0。</w:t>
            </w:r>
          </w:p>
          <w:p w14:paraId="2825A768">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进度管控标准：按周提交施工进度报告，若出现进度滞后（滞后超过 3 个工作日），需提交书面整改方案及补偿措施；项目整体工期不得超过 6 个月，逾期按合同金额的 0.5%/ 天支付违约金（累计不超过合同总额的 10%）。</w:t>
            </w:r>
          </w:p>
          <w:p w14:paraId="4793F66E">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（3）</w:t>
            </w:r>
            <w:r>
              <w:rPr>
                <w:rFonts w:ascii="仿宋" w:hAnsi="仿宋" w:eastAsia="仿宋" w:cs="仿宋"/>
                <w:color w:val="auto"/>
                <w:sz w:val="22"/>
                <w:szCs w:val="22"/>
              </w:rPr>
              <w:t>设备安装与调试规范：</w:t>
            </w:r>
          </w:p>
          <w:p w14:paraId="1261B5E7">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设备安装前需进行开箱验货，核对设备型号、数量、配件与合同及技术参数要求一致性，合格率 100% 方可安装；安装过程中需避免设备碰撞、损坏，设备安装水平度、垂直度偏差不超过 ±2mm。</w:t>
            </w:r>
          </w:p>
          <w:p w14:paraId="498C0D86">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系统调试需分阶段进行，先完成单设备调试（合格率 100%），再进行子系统调试（合格率 100%），最后进行全系统联调，联调需满足所有技术参数要求。</w:t>
            </w:r>
          </w:p>
          <w:p w14:paraId="1CEFA6C6">
            <w:pPr>
              <w:spacing w:after="0" w:line="360" w:lineRule="exact"/>
              <w:jc w:val="left"/>
              <w:rPr>
                <w:rFonts w:hint="eastAsia" w:ascii="仿宋" w:hAnsi="仿宋" w:eastAsia="仿宋" w:cs="仿宋"/>
                <w:color w:val="auto"/>
                <w:sz w:val="22"/>
                <w:szCs w:val="22"/>
              </w:rPr>
            </w:pPr>
            <w:r>
              <w:rPr>
                <w:rFonts w:ascii="仿宋" w:hAnsi="仿宋" w:eastAsia="仿宋" w:cs="仿宋"/>
                <w:color w:val="auto"/>
                <w:sz w:val="22"/>
                <w:szCs w:val="22"/>
              </w:rPr>
              <w:t>（三）文档交付要求</w:t>
            </w:r>
          </w:p>
          <w:p w14:paraId="30DDAC48">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施工过程中需同步提交阶段性文档，包括但不限于：施工日志（每日提交）、材料进场验收记录、设备开箱验收记录、工序验收记录、测试报告、安全巡检报告等。</w:t>
            </w:r>
          </w:p>
          <w:p w14:paraId="43272265">
            <w:pPr>
              <w:spacing w:after="0" w:line="360" w:lineRule="exact"/>
              <w:ind w:firstLine="440" w:firstLineChars="200"/>
              <w:jc w:val="left"/>
              <w:rPr>
                <w:rFonts w:hint="eastAsia" w:ascii="仿宋" w:hAnsi="仿宋" w:eastAsia="仿宋" w:cs="仿宋"/>
                <w:color w:val="auto"/>
                <w:sz w:val="22"/>
                <w:szCs w:val="22"/>
              </w:rPr>
            </w:pPr>
            <w:r>
              <w:rPr>
                <w:rFonts w:ascii="仿宋" w:hAnsi="仿宋" w:eastAsia="仿宋" w:cs="仿宋"/>
                <w:color w:val="auto"/>
                <w:sz w:val="22"/>
                <w:szCs w:val="22"/>
              </w:rPr>
              <w:t>项目验收时需提交完整竣工文档，包含：竣工图纸（含封闭冷通道系统图、配电系统拓扑图等）、设备说明书及合格证、技术参数检测报告、系统操作手册、维护手册、培训资料等，文档需纸质版（</w:t>
            </w:r>
            <w:r>
              <w:rPr>
                <w:rFonts w:hint="eastAsia" w:ascii="仿宋" w:hAnsi="仿宋" w:eastAsia="仿宋" w:cs="仿宋"/>
                <w:color w:val="auto"/>
                <w:sz w:val="22"/>
                <w:szCs w:val="22"/>
              </w:rPr>
              <w:t>1</w:t>
            </w:r>
            <w:r>
              <w:rPr>
                <w:rFonts w:ascii="仿宋" w:hAnsi="仿宋" w:eastAsia="仿宋" w:cs="仿宋"/>
                <w:color w:val="auto"/>
                <w:sz w:val="22"/>
                <w:szCs w:val="22"/>
              </w:rPr>
              <w:t xml:space="preserve"> 套）及电子版（U 盘存储）同步交付，文档合格率 100%。</w:t>
            </w:r>
          </w:p>
          <w:p w14:paraId="4F5F472B">
            <w:pPr>
              <w:spacing w:after="0" w:line="360" w:lineRule="exact"/>
              <w:jc w:val="left"/>
              <w:rPr>
                <w:rFonts w:hint="eastAsia" w:ascii="仿宋" w:hAnsi="仿宋" w:eastAsia="仿宋" w:cs="仿宋"/>
                <w:color w:val="auto"/>
                <w:sz w:val="22"/>
                <w:szCs w:val="22"/>
              </w:rPr>
            </w:pPr>
          </w:p>
          <w:p w14:paraId="153A2B98">
            <w:pPr>
              <w:spacing w:after="0" w:line="360" w:lineRule="exact"/>
              <w:jc w:val="left"/>
              <w:rPr>
                <w:color w:val="auto"/>
              </w:rPr>
            </w:pPr>
          </w:p>
        </w:tc>
      </w:tr>
      <w:tr w14:paraId="54B4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163" w:type="dxa"/>
            <w:vAlign w:val="center"/>
          </w:tcPr>
          <w:p w14:paraId="4F2E3529">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ascii="仿宋" w:hAnsi="仿宋" w:eastAsia="仿宋" w:cs="仿宋"/>
                <w:b w:val="0"/>
                <w:bCs/>
                <w:sz w:val="22"/>
                <w:szCs w:val="22"/>
                <w:shd w:val="clear" w:color="auto" w:fill="FFFFFF"/>
              </w:rPr>
              <w:t>售后</w:t>
            </w:r>
          </w:p>
          <w:p w14:paraId="3ABA3D09">
            <w:pPr>
              <w:pStyle w:val="2"/>
              <w:widowControl/>
              <w:shd w:val="clear" w:color="auto" w:fill="FFFFFF"/>
              <w:spacing w:before="0" w:beforeAutospacing="0" w:after="0" w:afterAutospacing="0" w:line="360" w:lineRule="exact"/>
              <w:jc w:val="center"/>
              <w:rPr>
                <w:rFonts w:ascii="仿宋" w:hAnsi="仿宋" w:eastAsia="仿宋" w:cs="仿宋"/>
                <w:b w:val="0"/>
                <w:bCs/>
                <w:sz w:val="22"/>
                <w:szCs w:val="22"/>
                <w:shd w:val="clear" w:color="auto" w:fill="FFFFFF"/>
              </w:rPr>
            </w:pPr>
            <w:r>
              <w:rPr>
                <w:rFonts w:ascii="仿宋" w:hAnsi="仿宋" w:eastAsia="仿宋" w:cs="仿宋"/>
                <w:b w:val="0"/>
                <w:bCs/>
                <w:sz w:val="22"/>
                <w:szCs w:val="22"/>
                <w:shd w:val="clear" w:color="auto" w:fill="FFFFFF"/>
              </w:rPr>
              <w:t>服务要求</w:t>
            </w:r>
          </w:p>
        </w:tc>
        <w:tc>
          <w:tcPr>
            <w:tcW w:w="8319" w:type="dxa"/>
          </w:tcPr>
          <w:p w14:paraId="2A7B7F6C">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一、维保期限与服务范围</w:t>
            </w:r>
          </w:p>
          <w:p w14:paraId="5ED412F9">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（1）维保期限：整体项目免费质保3 年，核心设备（UPS、空调、交换机、冷通道组件）3年，质保期内维修及配件免费。</w:t>
            </w:r>
          </w:p>
          <w:p w14:paraId="08E8B1E7">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（2）响应时效：7*24 400远程电话技术响应，5*10*NBD备件发出，紧急故障24小时内人员到场服务。</w:t>
            </w:r>
          </w:p>
          <w:p w14:paraId="61FD9D6B">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（3）定期维护：质保期内每年一次巡检。</w:t>
            </w:r>
          </w:p>
          <w:p w14:paraId="598CFC0B">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（4） 技术支持：提供 7×24 小时专属服务热线，安排技术支持人员随时接收故障的反馈和申报，根据故障报告内容对问题进行分级，在规定的时间内对申报的问题进行第一时间的响应及解决。</w:t>
            </w:r>
          </w:p>
          <w:p w14:paraId="10AE1A99">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二、售后保障承诺</w:t>
            </w:r>
          </w:p>
          <w:p w14:paraId="75EE5EB9">
            <w:pPr>
              <w:spacing w:after="0" w:line="360" w:lineRule="exact"/>
              <w:jc w:val="left"/>
              <w:rPr>
                <w:rFonts w:hint="eastAsia" w:ascii="仿宋" w:hAnsi="仿宋" w:eastAsia="仿宋" w:cs="仿宋"/>
                <w:color w:val="auto"/>
                <w:sz w:val="22"/>
                <w:szCs w:val="22"/>
              </w:rPr>
            </w:pPr>
            <w:r>
              <w:rPr>
                <w:rFonts w:hint="eastAsia" w:ascii="仿宋" w:hAnsi="仿宋" w:eastAsia="仿宋" w:cs="仿宋"/>
                <w:color w:val="auto"/>
                <w:sz w:val="22"/>
                <w:szCs w:val="22"/>
              </w:rPr>
              <w:t>中标方需提供书面售后服务承诺函，明确服务内容、响应时效、维保期限等，加盖公章后提交医院备案。</w:t>
            </w:r>
          </w:p>
        </w:tc>
      </w:tr>
    </w:tbl>
    <w:p w14:paraId="3AC60710">
      <w:pPr>
        <w:rPr>
          <w:rFonts w:hint="eastAsia" w:ascii="仿宋_GB2312" w:hAnsi="仿宋_GB2312" w:eastAsia="仿宋_GB2312" w:cs="仿宋_GB2312"/>
          <w:sz w:val="32"/>
          <w:szCs w:val="32"/>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1" w:fontKey="{B3676D97-3AD7-4494-BAEB-D22F98C9CD54}"/>
  </w:font>
  <w:font w:name="方正小标宋简体">
    <w:panose1 w:val="03000509000000000000"/>
    <w:charset w:val="86"/>
    <w:family w:val="auto"/>
    <w:pitch w:val="default"/>
    <w:sig w:usb0="00000001" w:usb1="080E0000" w:usb2="00000000" w:usb3="00000000" w:csb0="00040000" w:csb1="00000000"/>
    <w:embedRegular r:id="rId2" w:fontKey="{AED7C485-EFEA-4368-AB38-2087ECED1B1B}"/>
  </w:font>
  <w:font w:name="仿宋_GB2312">
    <w:panose1 w:val="02010609030101010101"/>
    <w:charset w:val="86"/>
    <w:family w:val="modern"/>
    <w:pitch w:val="default"/>
    <w:sig w:usb0="00000001" w:usb1="080E0000" w:usb2="00000000" w:usb3="00000000" w:csb0="00040000" w:csb1="00000000"/>
    <w:embedRegular r:id="rId3" w:fontKey="{9CED5360-6E34-4A9D-8E17-C491ED012C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8C72A"/>
    <w:multiLevelType w:val="singleLevel"/>
    <w:tmpl w:val="8138C72A"/>
    <w:lvl w:ilvl="0" w:tentative="0">
      <w:start w:val="11"/>
      <w:numFmt w:val="decimal"/>
      <w:lvlText w:val="%1."/>
      <w:lvlJc w:val="left"/>
      <w:pPr>
        <w:tabs>
          <w:tab w:val="left" w:pos="312"/>
        </w:tabs>
      </w:pPr>
    </w:lvl>
  </w:abstractNum>
  <w:abstractNum w:abstractNumId="1">
    <w:nsid w:val="CAE3BBBF"/>
    <w:multiLevelType w:val="singleLevel"/>
    <w:tmpl w:val="CAE3BBBF"/>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04"/>
    <w:rsid w:val="00033249"/>
    <w:rsid w:val="00104844"/>
    <w:rsid w:val="001F03ED"/>
    <w:rsid w:val="002104F0"/>
    <w:rsid w:val="00280B08"/>
    <w:rsid w:val="002E222E"/>
    <w:rsid w:val="0033648A"/>
    <w:rsid w:val="003437BA"/>
    <w:rsid w:val="003F539B"/>
    <w:rsid w:val="00473CCB"/>
    <w:rsid w:val="00490655"/>
    <w:rsid w:val="004C7C58"/>
    <w:rsid w:val="004E3EC5"/>
    <w:rsid w:val="00502DB6"/>
    <w:rsid w:val="005665E3"/>
    <w:rsid w:val="00585EDB"/>
    <w:rsid w:val="00663F69"/>
    <w:rsid w:val="0071238E"/>
    <w:rsid w:val="00783CAB"/>
    <w:rsid w:val="00796D22"/>
    <w:rsid w:val="007E48F0"/>
    <w:rsid w:val="007F3D04"/>
    <w:rsid w:val="00804ADB"/>
    <w:rsid w:val="00A72D4B"/>
    <w:rsid w:val="00AB265A"/>
    <w:rsid w:val="00B014B0"/>
    <w:rsid w:val="00BB7109"/>
    <w:rsid w:val="00CD1532"/>
    <w:rsid w:val="00CE3C7D"/>
    <w:rsid w:val="00D6343E"/>
    <w:rsid w:val="00E409A1"/>
    <w:rsid w:val="00E7593D"/>
    <w:rsid w:val="00E8125F"/>
    <w:rsid w:val="00F3008E"/>
    <w:rsid w:val="00FB52B5"/>
    <w:rsid w:val="00FE36B4"/>
    <w:rsid w:val="01FB59CF"/>
    <w:rsid w:val="02CE37C0"/>
    <w:rsid w:val="031F5879"/>
    <w:rsid w:val="0728477E"/>
    <w:rsid w:val="0D187F42"/>
    <w:rsid w:val="1221008A"/>
    <w:rsid w:val="13EC788F"/>
    <w:rsid w:val="14D97B8A"/>
    <w:rsid w:val="156328A3"/>
    <w:rsid w:val="17AF2468"/>
    <w:rsid w:val="17D655E7"/>
    <w:rsid w:val="192D5062"/>
    <w:rsid w:val="1B6F5412"/>
    <w:rsid w:val="1C8D043F"/>
    <w:rsid w:val="1E071B40"/>
    <w:rsid w:val="1FC42FD3"/>
    <w:rsid w:val="1FD02711"/>
    <w:rsid w:val="2495017E"/>
    <w:rsid w:val="2C2E598B"/>
    <w:rsid w:val="2F5946F3"/>
    <w:rsid w:val="33193E3F"/>
    <w:rsid w:val="33707BCD"/>
    <w:rsid w:val="3B3B2CBA"/>
    <w:rsid w:val="3CE02041"/>
    <w:rsid w:val="3F766509"/>
    <w:rsid w:val="42F67155"/>
    <w:rsid w:val="45FF0CFF"/>
    <w:rsid w:val="46AA4476"/>
    <w:rsid w:val="4AB6335D"/>
    <w:rsid w:val="4BAA1EDD"/>
    <w:rsid w:val="4CFE4E6E"/>
    <w:rsid w:val="4DD802BF"/>
    <w:rsid w:val="4E1C1427"/>
    <w:rsid w:val="51455CE4"/>
    <w:rsid w:val="51830D34"/>
    <w:rsid w:val="5263612A"/>
    <w:rsid w:val="540E06F6"/>
    <w:rsid w:val="570B590F"/>
    <w:rsid w:val="585B64A7"/>
    <w:rsid w:val="58F130E8"/>
    <w:rsid w:val="60A60420"/>
    <w:rsid w:val="639D057D"/>
    <w:rsid w:val="681810AC"/>
    <w:rsid w:val="691318F3"/>
    <w:rsid w:val="695E2542"/>
    <w:rsid w:val="69EA5DD9"/>
    <w:rsid w:val="6A080D23"/>
    <w:rsid w:val="6B705AE9"/>
    <w:rsid w:val="6DD03F18"/>
    <w:rsid w:val="6DE03A44"/>
    <w:rsid w:val="761937D3"/>
    <w:rsid w:val="790A575E"/>
    <w:rsid w:val="7D834DC1"/>
    <w:rsid w:val="7DF361E3"/>
    <w:rsid w:val="7F721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spacing w:beforeAutospacing="1" w:after="0" w:afterAutospacing="1"/>
      <w:jc w:val="left"/>
      <w:outlineLvl w:val="2"/>
    </w:pPr>
    <w:rPr>
      <w:rFonts w:hint="eastAsia" w:ascii="宋体" w:hAnsi="宋体"/>
      <w:b/>
      <w:bCs/>
      <w:kern w:val="0"/>
      <w:sz w:val="27"/>
      <w:szCs w:val="27"/>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footer"/>
    <w:basedOn w:val="1"/>
    <w:link w:val="16"/>
    <w:qFormat/>
    <w:uiPriority w:val="0"/>
    <w:pPr>
      <w:tabs>
        <w:tab w:val="center" w:pos="4153"/>
        <w:tab w:val="right" w:pos="8306"/>
      </w:tabs>
      <w:snapToGrid w:val="0"/>
      <w:spacing w:line="240" w:lineRule="auto"/>
      <w:jc w:val="left"/>
    </w:pPr>
    <w:rPr>
      <w:sz w:val="18"/>
      <w:szCs w:val="18"/>
    </w:rPr>
  </w:style>
  <w:style w:type="paragraph" w:styleId="8">
    <w:name w:val="header"/>
    <w:basedOn w:val="1"/>
    <w:link w:val="15"/>
    <w:qFormat/>
    <w:uiPriority w:val="0"/>
    <w:pPr>
      <w:tabs>
        <w:tab w:val="center" w:pos="4153"/>
        <w:tab w:val="right" w:pos="8306"/>
      </w:tabs>
      <w:snapToGrid w:val="0"/>
      <w:spacing w:line="240" w:lineRule="auto"/>
      <w:jc w:val="center"/>
    </w:pPr>
    <w:rPr>
      <w:sz w:val="18"/>
      <w:szCs w:val="18"/>
    </w:rPr>
  </w:style>
  <w:style w:type="paragraph" w:styleId="9">
    <w:name w:val="Normal (Web)"/>
    <w:basedOn w:val="1"/>
    <w:semiHidden/>
    <w:unhideWhenUsed/>
    <w:qFormat/>
    <w:uiPriority w:val="99"/>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character" w:customStyle="1" w:styleId="15">
    <w:name w:val="页眉 字符"/>
    <w:basedOn w:val="12"/>
    <w:link w:val="8"/>
    <w:qFormat/>
    <w:uiPriority w:val="0"/>
    <w:rPr>
      <w:rFonts w:ascii="Calibri" w:hAnsi="Calibri"/>
      <w:kern w:val="2"/>
      <w:sz w:val="18"/>
      <w:szCs w:val="18"/>
    </w:rPr>
  </w:style>
  <w:style w:type="character" w:customStyle="1" w:styleId="16">
    <w:name w:val="页脚 字符"/>
    <w:basedOn w:val="12"/>
    <w:link w:val="7"/>
    <w:qFormat/>
    <w:uiPriority w:val="0"/>
    <w:rPr>
      <w:rFonts w:ascii="Calibri" w:hAnsi="Calibri"/>
      <w:kern w:val="2"/>
      <w:sz w:val="18"/>
      <w:szCs w:val="18"/>
    </w:rPr>
  </w:style>
  <w:style w:type="paragraph" w:customStyle="1" w:styleId="17">
    <w:name w:val="列出段落1"/>
    <w:basedOn w:val="1"/>
    <w:qFormat/>
    <w:uiPriority w:val="99"/>
    <w:pPr>
      <w:ind w:firstLine="200" w:firstLineChars="200"/>
    </w:pPr>
    <w:rPr>
      <w:szCs w:val="22"/>
    </w:rPr>
  </w:style>
  <w:style w:type="character" w:customStyle="1" w:styleId="18">
    <w:name w:val="font11"/>
    <w:qFormat/>
    <w:uiPriority w:val="0"/>
    <w:rPr>
      <w:rFonts w:hint="eastAsia" w:ascii="宋体" w:hAnsi="宋体" w:eastAsia="宋体" w:cs="宋体"/>
      <w:b/>
      <w:bCs/>
      <w:color w:val="000000"/>
      <w:sz w:val="24"/>
      <w:szCs w:val="24"/>
      <w:u w:val="none"/>
    </w:rPr>
  </w:style>
  <w:style w:type="character" w:customStyle="1" w:styleId="19">
    <w:name w:val="font51"/>
    <w:qFormat/>
    <w:uiPriority w:val="0"/>
    <w:rPr>
      <w:rFonts w:hint="eastAsia" w:ascii="仿宋" w:hAnsi="仿宋" w:eastAsia="仿宋" w:cs="仿宋"/>
      <w:color w:val="000000"/>
      <w:sz w:val="22"/>
      <w:szCs w:val="22"/>
      <w:u w:val="none"/>
    </w:rPr>
  </w:style>
  <w:style w:type="character" w:customStyle="1" w:styleId="20">
    <w:name w:val="16"/>
    <w:basedOn w:val="12"/>
    <w:qFormat/>
    <w:uiPriority w:val="0"/>
    <w:rPr>
      <w:rFonts w:hint="eastAsia" w:ascii="仿宋" w:hAnsi="仿宋" w:eastAsia="仿宋" w:cs="仿宋"/>
      <w:color w:val="00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H3C</Company>
  <Pages>11</Pages>
  <Words>11176</Words>
  <Characters>12387</Characters>
  <Lines>103</Lines>
  <Paragraphs>29</Paragraphs>
  <TotalTime>422</TotalTime>
  <ScaleCrop>false</ScaleCrop>
  <LinksUpToDate>false</LinksUpToDate>
  <CharactersWithSpaces>12440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2025-02-18T08:48:00Z</dcterms:created>
  <dc:creator>Administrator</dc:creator>
  <cp:lastModifiedBy>微信用户</cp:lastModifiedBy>
  <cp:lastPrinted>2025-06-22T06:29:00Z</cp:lastPrinted>
  <dcterms:modified xsi:type="dcterms:W3CDTF">2026-03-19T12:58:36Z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eyJoZGlkIjoiZTRiNjVhYTllYWUwMDIyODUxNzkzMTBjY2I5MDk3ZmUiLCJ1c2VySWQiOiIxMjczMDI1NTE1In0=</vt:lpwstr>
  </property>
  <property fmtid="{D5CDD505-2E9C-101B-9397-08002B2CF9AE}" pid="4" name="ICV">
    <vt:lpwstr>AB12CB456DC6408BA1B0D0266A7B9E2A_13</vt:lpwstr>
  </property>
</Properties>
</file>