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BF9D5">
      <w:pPr>
        <w:jc w:val="center"/>
        <w:rPr>
          <w:rFonts w:hint="default"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sz w:val="36"/>
          <w:szCs w:val="36"/>
        </w:rPr>
        <w:t>项目需求</w:t>
      </w:r>
      <w:r>
        <w:rPr>
          <w:rFonts w:hint="eastAsia" w:ascii="方正小标宋简体" w:hAnsi="方正小标宋简体" w:eastAsia="方正小标宋简体" w:cs="方正小标宋简体"/>
          <w:b/>
          <w:bCs/>
          <w:sz w:val="36"/>
          <w:szCs w:val="36"/>
          <w:lang w:val="en-US" w:eastAsia="zh-CN"/>
        </w:rPr>
        <w:t>说明</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6173"/>
      </w:tblGrid>
      <w:tr w14:paraId="2987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349" w:type="dxa"/>
            <w:vAlign w:val="center"/>
          </w:tcPr>
          <w:p w14:paraId="6F84F7D6">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3" w:lineRule="atLeast"/>
              <w:jc w:val="center"/>
              <w:textAlignment w:val="auto"/>
              <w:rPr>
                <w:rFonts w:ascii="仿宋_GB2312" w:hAnsi="仿宋_GB2312" w:eastAsia="仿宋_GB2312" w:cs="仿宋_GB2312"/>
                <w:sz w:val="30"/>
                <w:szCs w:val="30"/>
              </w:rPr>
            </w:pPr>
            <w:r>
              <w:rPr>
                <w:rFonts w:ascii="仿宋_GB2312" w:hAnsi="仿宋_GB2312" w:eastAsia="仿宋_GB2312" w:cs="仿宋_GB2312"/>
                <w:b w:val="0"/>
                <w:sz w:val="30"/>
                <w:szCs w:val="30"/>
              </w:rPr>
              <w:t>项目名称</w:t>
            </w:r>
          </w:p>
        </w:tc>
        <w:tc>
          <w:tcPr>
            <w:tcW w:w="6173" w:type="dxa"/>
            <w:vAlign w:val="center"/>
          </w:tcPr>
          <w:p w14:paraId="5B24B02C">
            <w:pPr>
              <w:keepNext w:val="0"/>
              <w:keepLines w:val="0"/>
              <w:pageBreakBefore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2026年网络安全等级保护测评与专项整改服务项目</w:t>
            </w:r>
          </w:p>
        </w:tc>
      </w:tr>
      <w:tr w14:paraId="73EF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349" w:type="dxa"/>
            <w:vAlign w:val="center"/>
          </w:tcPr>
          <w:p w14:paraId="49FA2ABD">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3" w:lineRule="atLeast"/>
              <w:jc w:val="center"/>
              <w:textAlignment w:val="auto"/>
              <w:rPr>
                <w:rFonts w:ascii="仿宋_GB2312" w:hAnsi="仿宋_GB2312" w:eastAsia="仿宋_GB2312" w:cs="仿宋_GB2312"/>
                <w:b w:val="0"/>
                <w:bCs/>
                <w:sz w:val="30"/>
                <w:szCs w:val="30"/>
                <w:shd w:val="clear" w:color="auto" w:fill="FFFFFF"/>
              </w:rPr>
            </w:pPr>
            <w:r>
              <w:rPr>
                <w:rFonts w:hint="eastAsia" w:ascii="仿宋_GB2312" w:hAnsi="仿宋_GB2312" w:eastAsia="仿宋_GB2312" w:cs="仿宋_GB2312"/>
                <w:b w:val="0"/>
                <w:bCs/>
                <w:sz w:val="30"/>
                <w:szCs w:val="30"/>
              </w:rPr>
              <w:t>建设周期</w:t>
            </w:r>
          </w:p>
        </w:tc>
        <w:tc>
          <w:tcPr>
            <w:tcW w:w="6173" w:type="dxa"/>
            <w:vAlign w:val="center"/>
          </w:tcPr>
          <w:p w14:paraId="70A7E456">
            <w:pPr>
              <w:keepNext w:val="0"/>
              <w:keepLines w:val="0"/>
              <w:pageBreakBefore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4-8周</w:t>
            </w:r>
          </w:p>
        </w:tc>
      </w:tr>
      <w:tr w14:paraId="19E5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2349" w:type="dxa"/>
            <w:vAlign w:val="center"/>
          </w:tcPr>
          <w:p w14:paraId="4DC50917">
            <w:pPr>
              <w:pStyle w:val="2"/>
              <w:widowControl/>
              <w:shd w:val="clear" w:color="auto" w:fill="FFFFFF"/>
              <w:spacing w:before="0" w:beforeAutospacing="0" w:after="0" w:afterAutospacing="0" w:line="23" w:lineRule="atLeast"/>
              <w:jc w:val="left"/>
              <w:rPr>
                <w:rFonts w:hint="default"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用途及主要功能</w:t>
            </w:r>
          </w:p>
        </w:tc>
        <w:tc>
          <w:tcPr>
            <w:tcW w:w="6173" w:type="dxa"/>
            <w:vAlign w:val="center"/>
          </w:tcPr>
          <w:p w14:paraId="1A702C4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本项目旨在贯彻落实《中华人民共和国网络安全法》、《信息安全等级保护管理办法》、《等级保护2.0》标准体系，以及《南宁市卫健委2025年度目标考核》相关要求，对我院已完成公安备案的三级信息系统</w:t>
            </w:r>
            <w:bookmarkStart w:id="0" w:name="_GoBack"/>
            <w:bookmarkEnd w:id="0"/>
            <w:r>
              <w:rPr>
                <w:rFonts w:hint="eastAsia" w:ascii="仿宋" w:hAnsi="仿宋" w:eastAsia="仿宋" w:cs="仿宋"/>
                <w:sz w:val="24"/>
                <w:szCs w:val="24"/>
                <w:lang w:val="en-US" w:eastAsia="zh-CN"/>
              </w:rPr>
              <w:t>（包括医院数字化管理系统（HIS、LIS、PACS、体检系统等），集成平台系统）开展2026年度网络安全等级保护测评及专项整改服务。</w:t>
            </w:r>
          </w:p>
          <w:p w14:paraId="6131228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通过专业测评手段对各系统的安全技术和管理保障能力进行全面评估，及时发现系统中存在的风险点与不符合项，结合历年检查通报与整改要求，制定切实可行的技术与管理整改方案，并提供全过程的整改指导和协作服务，形成完整的闭环整改和测评成果体系。</w:t>
            </w:r>
          </w:p>
          <w:p w14:paraId="127931C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项目的实施将有效提升我院信息系统的安全防护能力，确保在各类网络安全检查、等级保护复核及相关评估中实现持续达标和稳固运行，为保障医疗数据安全、维护医院核心业务系统的连续稳定运行提供强有力支撑。</w:t>
            </w:r>
          </w:p>
        </w:tc>
      </w:tr>
      <w:tr w14:paraId="760B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trPr>
        <w:tc>
          <w:tcPr>
            <w:tcW w:w="2349" w:type="dxa"/>
            <w:vAlign w:val="center"/>
          </w:tcPr>
          <w:p w14:paraId="05875E21">
            <w:pPr>
              <w:pStyle w:val="2"/>
              <w:widowControl/>
              <w:shd w:val="clear" w:color="auto" w:fill="FFFFFF"/>
              <w:spacing w:before="0" w:beforeAutospacing="0" w:after="0" w:afterAutospacing="0" w:line="23" w:lineRule="atLeast"/>
              <w:jc w:val="center"/>
              <w:rPr>
                <w:rFonts w:hint="default"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预期效果</w:t>
            </w:r>
          </w:p>
        </w:tc>
        <w:tc>
          <w:tcPr>
            <w:tcW w:w="6173" w:type="dxa"/>
            <w:vAlign w:val="center"/>
          </w:tcPr>
          <w:p w14:paraId="1D31CFB3">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1.形成符合等保2.0三级标准的测评报告，满足监管部门合规要求；</w:t>
            </w:r>
          </w:p>
          <w:p w14:paraId="6995480D">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2.对所有不合规项进行闭环整改，降低信息系统被攻击或数据泄露的风险；</w:t>
            </w:r>
          </w:p>
          <w:p w14:paraId="2F38B89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3.明确医院网络安全建设现状与差距，作为未来安全能力提升规划依据；</w:t>
            </w:r>
          </w:p>
          <w:p w14:paraId="62509C7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4.建立整改成果档案与持续优化机制，为医院后续网络安全评估、检查打好基础；</w:t>
            </w:r>
          </w:p>
          <w:p w14:paraId="62899A3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5.提升信息科安全管理能力，推动安全制度、流程、技术协同建设。</w:t>
            </w:r>
          </w:p>
        </w:tc>
      </w:tr>
      <w:tr w14:paraId="2E21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2349" w:type="dxa"/>
            <w:vAlign w:val="center"/>
          </w:tcPr>
          <w:p w14:paraId="4B954EC3">
            <w:pPr>
              <w:pStyle w:val="2"/>
              <w:widowControl/>
              <w:shd w:val="clear" w:color="auto" w:fill="FFFFFF"/>
              <w:spacing w:before="0" w:beforeAutospacing="0" w:after="0" w:afterAutospacing="0" w:line="23" w:lineRule="atLeast"/>
              <w:jc w:val="center"/>
              <w:rPr>
                <w:rFonts w:hint="eastAsia"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建设内容</w:t>
            </w:r>
          </w:p>
          <w:p w14:paraId="24862039">
            <w:pPr>
              <w:pStyle w:val="2"/>
              <w:widowControl/>
              <w:shd w:val="clear" w:color="auto" w:fill="FFFFFF"/>
              <w:spacing w:before="0" w:beforeAutospacing="0" w:after="0" w:afterAutospacing="0" w:line="23" w:lineRule="atLeast"/>
              <w:jc w:val="center"/>
              <w:rPr>
                <w:rFonts w:hint="eastAsia"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及功能</w:t>
            </w:r>
            <w:r>
              <w:rPr>
                <w:rFonts w:ascii="仿宋_GB2312" w:hAnsi="仿宋_GB2312" w:eastAsia="仿宋_GB2312" w:cs="仿宋_GB2312"/>
                <w:b w:val="0"/>
                <w:bCs/>
                <w:sz w:val="30"/>
                <w:szCs w:val="30"/>
                <w:shd w:val="clear" w:color="auto" w:fill="FFFFFF"/>
              </w:rPr>
              <w:t>技术</w:t>
            </w:r>
            <w:r>
              <w:rPr>
                <w:rFonts w:hint="eastAsia" w:ascii="仿宋_GB2312" w:hAnsi="仿宋_GB2312" w:eastAsia="仿宋_GB2312" w:cs="仿宋_GB2312"/>
                <w:b w:val="0"/>
                <w:bCs/>
                <w:sz w:val="30"/>
                <w:szCs w:val="30"/>
                <w:shd w:val="clear" w:color="auto" w:fill="FFFFFF"/>
                <w:lang w:val="en-US" w:eastAsia="zh-CN"/>
              </w:rPr>
              <w:t>要求</w:t>
            </w:r>
          </w:p>
        </w:tc>
        <w:tc>
          <w:tcPr>
            <w:tcW w:w="6173" w:type="dxa"/>
            <w:vAlign w:val="center"/>
          </w:tcPr>
          <w:p w14:paraId="7F80BC20">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1.根据国家网络安全等级保护的相关要求，对医院数字化管理系统（HIS、LIS、PACS、体检系统）、集成平台，按等级保护2.0三级要求开展网络安全等级保护测评和整改等安全服务工作。</w:t>
            </w:r>
          </w:p>
          <w:p w14:paraId="1E58F5F6">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2.对2025年等级保护测评工作中，所需要进行的定级备案、资料评审、制度体系等开展咨询工作，建立和完善制度体系及相关记录。</w:t>
            </w:r>
          </w:p>
          <w:p w14:paraId="4493C7E3">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3.对2025年等级保护测评中或报告发现的不足情况，协助整改，并形成整改报告</w:t>
            </w:r>
          </w:p>
          <w:p w14:paraId="182E3F16">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4.对2025年卫健委和公安局年度安全检查报告中存在的不足协助整改，形成整改报告。</w:t>
            </w:r>
          </w:p>
          <w:p w14:paraId="2CD69D2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5.技术要求：</w:t>
            </w:r>
          </w:p>
          <w:p w14:paraId="5A9183E4">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（1）对医院现有设备、系统能够加固优化而完成整改的，安排专人完成整改；</w:t>
            </w:r>
          </w:p>
          <w:p w14:paraId="1FF8D91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（2）对需要增补设备或第三方软件系统进行改造的，提供详细整改方法建议。</w:t>
            </w:r>
          </w:p>
          <w:p w14:paraId="21F500D0">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6.提供一套完整的等级保护测评支撑材料模板库，包括制度文档模板、流程规范、记录表单等；</w:t>
            </w:r>
          </w:p>
          <w:p w14:paraId="4009ABA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7.协助医院梳理与等保相关的制度体系，完成制度修订和更新；</w:t>
            </w:r>
          </w:p>
          <w:p w14:paraId="41F5249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8.项目实施期间应安排具备等保2.0测评资质和经验的专家现场指导，与医院信息科人员开展联合推进工作，提升项目实施效率；</w:t>
            </w:r>
          </w:p>
          <w:p w14:paraId="3D523B5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9.整改过程中需提供具体设备加固配置方案（如操作系统加固、数据库防护、堡垒机配置优化等）；</w:t>
            </w:r>
          </w:p>
          <w:p w14:paraId="488EECD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10.所有整改建议应与医院现有系统和网络架构兼容，不得影响医院正常医疗业务开展。</w:t>
            </w:r>
          </w:p>
        </w:tc>
      </w:tr>
      <w:tr w14:paraId="30E1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2349" w:type="dxa"/>
            <w:vAlign w:val="center"/>
          </w:tcPr>
          <w:p w14:paraId="6603C558">
            <w:pPr>
              <w:pStyle w:val="2"/>
              <w:widowControl/>
              <w:shd w:val="clear" w:color="auto" w:fill="FFFFFF"/>
              <w:spacing w:before="0" w:beforeAutospacing="0" w:after="0" w:afterAutospacing="0" w:line="23" w:lineRule="atLeast"/>
              <w:jc w:val="center"/>
              <w:rPr>
                <w:rFonts w:hint="default"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硬件设施要求</w:t>
            </w:r>
          </w:p>
        </w:tc>
        <w:tc>
          <w:tcPr>
            <w:tcW w:w="6173" w:type="dxa"/>
          </w:tcPr>
          <w:p w14:paraId="7C6D19A6">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本项目本身不新增硬件设备，但要求服务单位具备专业测试设备和工具（如漏洞扫描设备、渗透测试工具、安全评估平台等），并能保障设备合法合规、测试结果真实有效。</w:t>
            </w:r>
          </w:p>
          <w:p w14:paraId="39B6B243">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如整改建议中确需采购硬件，应明确具体型号、配置、部署方式及改造影响范围，供医院决策使用。</w:t>
            </w:r>
          </w:p>
        </w:tc>
      </w:tr>
      <w:tr w14:paraId="2A7E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2349" w:type="dxa"/>
            <w:vAlign w:val="center"/>
          </w:tcPr>
          <w:p w14:paraId="5C88DCDA">
            <w:pPr>
              <w:pStyle w:val="2"/>
              <w:widowControl/>
              <w:shd w:val="clear" w:color="auto" w:fill="FFFFFF"/>
              <w:spacing w:before="0" w:beforeAutospacing="0" w:after="0" w:afterAutospacing="0" w:line="23" w:lineRule="atLeast"/>
              <w:jc w:val="center"/>
              <w:rPr>
                <w:rFonts w:hint="default"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安全性与权限控制要求</w:t>
            </w:r>
          </w:p>
        </w:tc>
        <w:tc>
          <w:tcPr>
            <w:tcW w:w="6173" w:type="dxa"/>
          </w:tcPr>
          <w:p w14:paraId="3BB3989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1.安全性要求：</w:t>
            </w:r>
          </w:p>
          <w:p w14:paraId="0952FFD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建设方提供的测评服务应符合国家等级保护和国家相关法律，指出防范的方针和保护的原则；测评方案的设计与实施应依据国内、国际最新的相关标准进行；建设方工作中的过程和文档，具有很好的规范性，便于项目的跟踪和控制。</w:t>
            </w:r>
          </w:p>
          <w:p w14:paraId="282F5DC0">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测评的方法和过程要在双方认可的范围之内，安全咨询的进度应按照进度表安排，保证我院对于服务工作的可控性；安全体系设计的范围和内容应当整体全面，包括安全涉及的各个层面，避免由于遗漏造成未来的安全隐患。</w:t>
            </w:r>
          </w:p>
          <w:p w14:paraId="343F18D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（3）测评工作应尽可能小地影响系统和网络的正常运行，要求建设方不得对我院各系统的运行和业务的正常提供产生实质性影响。</w:t>
            </w:r>
          </w:p>
          <w:p w14:paraId="63BF389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（4）对测评过程中获得的我院数据和结果数据严格保密，未经授权不得泄露给任何单位和个人，不得利用此数据进行任何侵害采购人利益的行为。</w:t>
            </w:r>
          </w:p>
          <w:p w14:paraId="1E06FA8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（5）测评团队进入医院前应报送人员名单及身份证明，接受医院审查与入场管理；</w:t>
            </w:r>
          </w:p>
          <w:p w14:paraId="3786ADE3">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（6）所有项目成果资料须以电子文档+纸质签章形式提交，电子文档统一保存在医院指定系统或加密介质中；</w:t>
            </w:r>
          </w:p>
          <w:p w14:paraId="5525CFC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（7）项目所有数据流转、现场测试、访谈记录须全程可追溯；</w:t>
            </w:r>
          </w:p>
          <w:p w14:paraId="0C0EA19D">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（8）所有整改操作必须获得医院批准后方可实施，严禁擅自更改系统配置或网络结构。</w:t>
            </w:r>
          </w:p>
          <w:p w14:paraId="5272F5B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2.权限控制要求：</w:t>
            </w:r>
          </w:p>
          <w:p w14:paraId="0EC4BF0C">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（1）建设方应与南宁市第二人民医院签署项目实施期间的信息保密协议；</w:t>
            </w:r>
          </w:p>
          <w:p w14:paraId="1B424860">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（2）建设方项目人员应与南宁市第二人民医院签署项目实施期间的信息保密承诺书。</w:t>
            </w:r>
          </w:p>
        </w:tc>
      </w:tr>
      <w:tr w14:paraId="0668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2349" w:type="dxa"/>
            <w:vAlign w:val="center"/>
          </w:tcPr>
          <w:p w14:paraId="6FCA8396">
            <w:pPr>
              <w:pStyle w:val="2"/>
              <w:widowControl/>
              <w:shd w:val="clear" w:color="auto" w:fill="FFFFFF"/>
              <w:spacing w:before="0" w:beforeAutospacing="0" w:after="0" w:afterAutospacing="0" w:line="23" w:lineRule="atLeast"/>
              <w:jc w:val="center"/>
              <w:rPr>
                <w:rFonts w:hint="default" w:ascii="仿宋_GB2312" w:hAnsi="仿宋_GB2312" w:eastAsia="仿宋_GB2312" w:cs="仿宋_GB2312"/>
                <w:b w:val="0"/>
                <w:bCs/>
                <w:sz w:val="30"/>
                <w:szCs w:val="30"/>
                <w:shd w:val="clear" w:color="auto" w:fill="FFFFFF"/>
                <w:lang w:val="en-US" w:eastAsia="zh-CN"/>
              </w:rPr>
            </w:pPr>
            <w:r>
              <w:rPr>
                <w:rFonts w:hint="eastAsia" w:ascii="仿宋_GB2312" w:hAnsi="仿宋_GB2312" w:eastAsia="仿宋_GB2312" w:cs="仿宋_GB2312"/>
                <w:b w:val="0"/>
                <w:bCs/>
                <w:sz w:val="30"/>
                <w:szCs w:val="30"/>
                <w:shd w:val="clear" w:color="auto" w:fill="FFFFFF"/>
                <w:lang w:val="en-US" w:eastAsia="zh-CN"/>
              </w:rPr>
              <w:t>实施及后续运维服务要求</w:t>
            </w:r>
          </w:p>
        </w:tc>
        <w:tc>
          <w:tcPr>
            <w:tcW w:w="6173" w:type="dxa"/>
          </w:tcPr>
          <w:p w14:paraId="1ABC7F9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1.实施服务要求：</w:t>
            </w:r>
          </w:p>
          <w:p w14:paraId="3BC0FC3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网络安全等级保护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如应用系统涉及安全扩展要求的标准进行测评。</w:t>
            </w:r>
          </w:p>
          <w:p w14:paraId="7C8DED51">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在测评实施过程中，应采用访谈、检查和测试、渗透测试、工具扫描等国际国内认可的先进方法和手段进行，并与国家相关规范及标准的要求相符。测评中必须采用专业的国内安全扫描设备及软件产品辅助测评工作的完成。</w:t>
            </w:r>
          </w:p>
          <w:p w14:paraId="63FD508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2.实施细节：</w:t>
            </w:r>
          </w:p>
          <w:p w14:paraId="3C3C6670">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（1）项目实施前，服务单位需提供完整实施计划与进度表；</w:t>
            </w:r>
          </w:p>
          <w:p w14:paraId="4821BAE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（2）服务单位需定期向医院报告进展情况，形成每周推进汇报；</w:t>
            </w:r>
          </w:p>
          <w:p w14:paraId="22EEEB8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（3）如发现重大安全漏洞，服务单位应立即提交书面风险预警报告；</w:t>
            </w:r>
          </w:p>
          <w:p w14:paraId="1142A3D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（4）项目交付成果应包括：定级备案材料、测评报告、安全整改建议书、整改佐证材料、安全制度修订文本、过程支撑材料等。</w:t>
            </w:r>
          </w:p>
          <w:p w14:paraId="6C7A5FD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3.后续运维支持要求：</w:t>
            </w:r>
          </w:p>
          <w:p w14:paraId="5EE2D39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（1）项目结束后，服务单位应提供不少于6个月的安全顾问咨询服务，包括电话答疑、邮件回复、制度修订协助等；</w:t>
            </w:r>
          </w:p>
          <w:p w14:paraId="78092D45">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（2）如医院在迎接上级部门检查时需补充材料，服务方应在合同服务期内无偿支持；</w:t>
            </w:r>
          </w:p>
          <w:p w14:paraId="11E36A4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（3）提供年度安全技术咨询建议报告，为下一年度安全规划提供依据。</w:t>
            </w:r>
          </w:p>
        </w:tc>
      </w:tr>
    </w:tbl>
    <w:p w14:paraId="2456B2B9">
      <w:pPr>
        <w:rPr>
          <w:rFonts w:hint="eastAsia" w:ascii="仿宋_GB2312" w:hAnsi="仿宋_GB2312" w:eastAsia="仿宋_GB2312" w:cs="仿宋_GB2312"/>
          <w:sz w:val="32"/>
          <w:szCs w:val="32"/>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04"/>
    <w:rsid w:val="005F65CD"/>
    <w:rsid w:val="00663F69"/>
    <w:rsid w:val="00783CAB"/>
    <w:rsid w:val="007F3D04"/>
    <w:rsid w:val="00CD1532"/>
    <w:rsid w:val="00F3008E"/>
    <w:rsid w:val="04806B11"/>
    <w:rsid w:val="06B55198"/>
    <w:rsid w:val="08C6543B"/>
    <w:rsid w:val="0B151C20"/>
    <w:rsid w:val="0D187F42"/>
    <w:rsid w:val="0F4C0664"/>
    <w:rsid w:val="0F973E8F"/>
    <w:rsid w:val="115F467E"/>
    <w:rsid w:val="11643A43"/>
    <w:rsid w:val="119D51A7"/>
    <w:rsid w:val="12631F4C"/>
    <w:rsid w:val="14FC0436"/>
    <w:rsid w:val="157D6CD0"/>
    <w:rsid w:val="183F48C2"/>
    <w:rsid w:val="184B14B9"/>
    <w:rsid w:val="18F84792"/>
    <w:rsid w:val="192D5062"/>
    <w:rsid w:val="1A3A7A37"/>
    <w:rsid w:val="1AC955A4"/>
    <w:rsid w:val="1B725DA6"/>
    <w:rsid w:val="1D6372A4"/>
    <w:rsid w:val="21D4251F"/>
    <w:rsid w:val="21EA1D42"/>
    <w:rsid w:val="23290648"/>
    <w:rsid w:val="23E46569"/>
    <w:rsid w:val="25BD32CA"/>
    <w:rsid w:val="28941F49"/>
    <w:rsid w:val="296A19BB"/>
    <w:rsid w:val="29EE3E7E"/>
    <w:rsid w:val="2C7E592F"/>
    <w:rsid w:val="2D410C84"/>
    <w:rsid w:val="30C419B0"/>
    <w:rsid w:val="30DC14B6"/>
    <w:rsid w:val="311936B2"/>
    <w:rsid w:val="32DA370D"/>
    <w:rsid w:val="33016EEC"/>
    <w:rsid w:val="34735BC7"/>
    <w:rsid w:val="36DD1A1E"/>
    <w:rsid w:val="378259D5"/>
    <w:rsid w:val="3AD76784"/>
    <w:rsid w:val="3BA96372"/>
    <w:rsid w:val="43D16466"/>
    <w:rsid w:val="444F0B46"/>
    <w:rsid w:val="44BF2763"/>
    <w:rsid w:val="45892768"/>
    <w:rsid w:val="47D17961"/>
    <w:rsid w:val="4D0C714B"/>
    <w:rsid w:val="4DD802BF"/>
    <w:rsid w:val="4E1C1427"/>
    <w:rsid w:val="4E202BB9"/>
    <w:rsid w:val="4F416688"/>
    <w:rsid w:val="4F561F16"/>
    <w:rsid w:val="50A62A29"/>
    <w:rsid w:val="54B24092"/>
    <w:rsid w:val="56130B60"/>
    <w:rsid w:val="568B06F7"/>
    <w:rsid w:val="586539F9"/>
    <w:rsid w:val="58F130E8"/>
    <w:rsid w:val="6082700E"/>
    <w:rsid w:val="628A21AA"/>
    <w:rsid w:val="630B32EB"/>
    <w:rsid w:val="635A1B7D"/>
    <w:rsid w:val="69E623BC"/>
    <w:rsid w:val="69EA5DD9"/>
    <w:rsid w:val="6A42336B"/>
    <w:rsid w:val="6B705AE9"/>
    <w:rsid w:val="6BE02E3B"/>
    <w:rsid w:val="6DE03A44"/>
    <w:rsid w:val="6EA6036C"/>
    <w:rsid w:val="6FC957F4"/>
    <w:rsid w:val="738F53D1"/>
    <w:rsid w:val="74B86703"/>
    <w:rsid w:val="764F0CC9"/>
    <w:rsid w:val="776B3006"/>
    <w:rsid w:val="77752FD1"/>
    <w:rsid w:val="7831514A"/>
    <w:rsid w:val="787D213D"/>
    <w:rsid w:val="790A575E"/>
    <w:rsid w:val="79E7560A"/>
    <w:rsid w:val="7D747887"/>
    <w:rsid w:val="7E8E6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spacing w:line="240" w:lineRule="auto"/>
      <w:jc w:val="left"/>
    </w:pPr>
    <w:rPr>
      <w:sz w:val="18"/>
      <w:szCs w:val="18"/>
    </w:rPr>
  </w:style>
  <w:style w:type="paragraph" w:styleId="4">
    <w:name w:val="header"/>
    <w:basedOn w:val="1"/>
    <w:link w:val="8"/>
    <w:qFormat/>
    <w:uiPriority w:val="0"/>
    <w:pPr>
      <w:tabs>
        <w:tab w:val="center" w:pos="4153"/>
        <w:tab w:val="right" w:pos="8306"/>
      </w:tabs>
      <w:snapToGrid w:val="0"/>
      <w:spacing w:line="240" w:lineRule="auto"/>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rFonts w:ascii="Calibri" w:hAnsi="Calibri"/>
      <w:kern w:val="2"/>
      <w:sz w:val="18"/>
      <w:szCs w:val="18"/>
    </w:rPr>
  </w:style>
  <w:style w:type="character" w:customStyle="1" w:styleId="9">
    <w:name w:val="页脚 字符"/>
    <w:basedOn w:val="7"/>
    <w:link w:val="3"/>
    <w:qFormat/>
    <w:uiPriority w:val="0"/>
    <w:rPr>
      <w:rFonts w:ascii="Calibri" w:hAnsi="Calibri"/>
      <w:kern w:val="2"/>
      <w:sz w:val="18"/>
      <w:szCs w:val="18"/>
    </w:rPr>
  </w:style>
  <w:style w:type="paragraph" w:customStyle="1" w:styleId="10">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2628</Words>
  <Characters>2695</Characters>
  <Lines>1</Lines>
  <Paragraphs>1</Paragraphs>
  <TotalTime>1</TotalTime>
  <ScaleCrop>false</ScaleCrop>
  <LinksUpToDate>false</LinksUpToDate>
  <CharactersWithSpaces>2695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2025-02-18T08:48:00Z</dcterms:created>
  <dc:creator>Administrator</dc:creator>
  <cp:lastModifiedBy>微信用户</cp:lastModifiedBy>
  <cp:lastPrinted>2025-06-22T06:29:00Z</cp:lastPrinted>
  <dcterms:modified xsi:type="dcterms:W3CDTF">2026-07-24T12:29:27Z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eyJoZGlkIjoiZTRiNjVhYTllYWUwMDIyODUxNzkzMTBjY2I5MDk3ZmUiLCJ1c2VySWQiOiIxMjczMDI1NTE1In0=</vt:lpwstr>
  </property>
  <property fmtid="{D5CDD505-2E9C-101B-9397-08002B2CF9AE}" pid="4" name="ICV">
    <vt:lpwstr>E43E22A106C04F3A95EE47546F45FCAE_13</vt:lpwstr>
  </property>
</Properties>
</file>